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23B4B">
      <w:pPr>
        <w:pStyle w:val="8"/>
        <w:jc w:val="center"/>
        <w:rPr>
          <w:b/>
          <w:bCs/>
          <w:sz w:val="28"/>
          <w:szCs w:val="28"/>
        </w:rPr>
      </w:pPr>
      <w:bookmarkStart w:id="0" w:name="_GoBack"/>
      <w:bookmarkEnd w:id="0"/>
      <w:r>
        <w:rPr>
          <w:b/>
          <w:bCs/>
          <w:sz w:val="28"/>
          <w:szCs w:val="28"/>
        </w:rPr>
        <w:t>ТЕРРИТОРИАЛЬНАЯ ИЗБИРАТЕЛЬНАЯ КОМИССИЯ</w:t>
      </w:r>
    </w:p>
    <w:p w14:paraId="067DE34B">
      <w:pPr>
        <w:jc w:val="center"/>
        <w:rPr>
          <w:rFonts w:ascii="Times New Roman" w:hAnsi="Times New Roman"/>
          <w:b/>
          <w:bCs/>
          <w:sz w:val="28"/>
          <w:szCs w:val="28"/>
        </w:rPr>
      </w:pPr>
      <w:r>
        <w:rPr>
          <w:rFonts w:ascii="Times New Roman" w:hAnsi="Times New Roman"/>
          <w:b/>
          <w:bCs/>
          <w:sz w:val="28"/>
          <w:szCs w:val="28"/>
        </w:rPr>
        <w:t>ТЕРБУНСКОГО ОКРУГА</w:t>
      </w:r>
    </w:p>
    <w:p w14:paraId="3EBA73C1">
      <w:pPr>
        <w:pStyle w:val="2"/>
        <w:rPr>
          <w:rFonts w:eastAsia="Calibri"/>
          <w:bCs w:val="0"/>
          <w:spacing w:val="80"/>
          <w:sz w:val="32"/>
        </w:rPr>
      </w:pPr>
      <w:r>
        <w:rPr>
          <w:rFonts w:eastAsia="Calibri"/>
          <w:bCs w:val="0"/>
          <w:spacing w:val="80"/>
          <w:sz w:val="32"/>
        </w:rPr>
        <w:t>ПОСТАНОВЛЕНИЕ</w:t>
      </w:r>
    </w:p>
    <w:p w14:paraId="325094FD">
      <w:pPr>
        <w:jc w:val="center"/>
        <w:rPr>
          <w:rFonts w:ascii="Times New Roman" w:hAnsi="Times New Roman" w:eastAsia="Times New Roman"/>
          <w:sz w:val="28"/>
          <w:szCs w:val="28"/>
        </w:rPr>
      </w:pPr>
    </w:p>
    <w:tbl>
      <w:tblPr>
        <w:tblStyle w:val="4"/>
        <w:tblW w:w="9464" w:type="dxa"/>
        <w:tblInd w:w="0" w:type="dxa"/>
        <w:tblLayout w:type="autofit"/>
        <w:tblCellMar>
          <w:top w:w="0" w:type="dxa"/>
          <w:left w:w="108" w:type="dxa"/>
          <w:bottom w:w="0" w:type="dxa"/>
          <w:right w:w="108" w:type="dxa"/>
        </w:tblCellMar>
      </w:tblPr>
      <w:tblGrid>
        <w:gridCol w:w="3794"/>
        <w:gridCol w:w="2749"/>
        <w:gridCol w:w="1787"/>
        <w:gridCol w:w="1134"/>
      </w:tblGrid>
      <w:tr w14:paraId="7DD530AA">
        <w:tblPrEx>
          <w:tblCellMar>
            <w:top w:w="0" w:type="dxa"/>
            <w:left w:w="108" w:type="dxa"/>
            <w:bottom w:w="0" w:type="dxa"/>
            <w:right w:w="108" w:type="dxa"/>
          </w:tblCellMar>
        </w:tblPrEx>
        <w:tc>
          <w:tcPr>
            <w:tcW w:w="3794" w:type="dxa"/>
          </w:tcPr>
          <w:p w14:paraId="3BFF6BF1">
            <w:pPr>
              <w:jc w:val="center"/>
              <w:rPr>
                <w:rFonts w:ascii="Times New Roman" w:hAnsi="Times New Roman" w:eastAsia="Times New Roman"/>
                <w:color w:val="000000"/>
                <w:sz w:val="28"/>
                <w:szCs w:val="28"/>
              </w:rPr>
            </w:pPr>
            <w:r>
              <w:rPr>
                <w:rFonts w:ascii="Times New Roman" w:hAnsi="Times New Roman"/>
                <w:color w:val="000000"/>
                <w:sz w:val="28"/>
                <w:szCs w:val="28"/>
              </w:rPr>
              <w:t>30 января 2026 года</w:t>
            </w:r>
          </w:p>
        </w:tc>
        <w:tc>
          <w:tcPr>
            <w:tcW w:w="2749" w:type="dxa"/>
          </w:tcPr>
          <w:p w14:paraId="0A6DFC58">
            <w:pPr>
              <w:jc w:val="center"/>
              <w:rPr>
                <w:rFonts w:ascii="Times New Roman" w:hAnsi="Times New Roman" w:eastAsia="Times New Roman"/>
                <w:color w:val="000000"/>
                <w:sz w:val="28"/>
                <w:szCs w:val="28"/>
              </w:rPr>
            </w:pPr>
          </w:p>
        </w:tc>
        <w:tc>
          <w:tcPr>
            <w:tcW w:w="1787" w:type="dxa"/>
          </w:tcPr>
          <w:p w14:paraId="3BF3C23D">
            <w:pPr>
              <w:jc w:val="center"/>
              <w:rPr>
                <w:rFonts w:ascii="Times New Roman" w:hAnsi="Times New Roman" w:eastAsia="Times New Roman"/>
                <w:color w:val="000000"/>
                <w:sz w:val="28"/>
                <w:szCs w:val="28"/>
              </w:rPr>
            </w:pPr>
            <w:r>
              <w:rPr>
                <w:rFonts w:ascii="Times New Roman" w:hAnsi="Times New Roman"/>
                <w:color w:val="000000"/>
                <w:sz w:val="28"/>
                <w:szCs w:val="28"/>
              </w:rPr>
              <w:t>№</w:t>
            </w:r>
          </w:p>
        </w:tc>
        <w:tc>
          <w:tcPr>
            <w:tcW w:w="1134" w:type="dxa"/>
            <w:tcBorders>
              <w:top w:val="nil"/>
              <w:left w:val="nil"/>
              <w:bottom w:val="single" w:color="auto" w:sz="4" w:space="0"/>
              <w:right w:val="nil"/>
            </w:tcBorders>
          </w:tcPr>
          <w:p w14:paraId="082F5043">
            <w:pPr>
              <w:jc w:val="center"/>
              <w:rPr>
                <w:rFonts w:ascii="Times New Roman" w:hAnsi="Times New Roman" w:eastAsia="Times New Roman"/>
                <w:color w:val="000000"/>
                <w:sz w:val="28"/>
                <w:szCs w:val="28"/>
              </w:rPr>
            </w:pPr>
            <w:r>
              <w:rPr>
                <w:rFonts w:ascii="Times New Roman" w:hAnsi="Times New Roman"/>
                <w:color w:val="000000"/>
                <w:sz w:val="28"/>
                <w:szCs w:val="28"/>
              </w:rPr>
              <w:t>3 / 13</w:t>
            </w:r>
          </w:p>
        </w:tc>
      </w:tr>
    </w:tbl>
    <w:p w14:paraId="25E00903">
      <w:pPr>
        <w:spacing w:before="240"/>
        <w:jc w:val="center"/>
        <w:rPr>
          <w:rFonts w:ascii="Times New Roman" w:hAnsi="Times New Roman" w:eastAsia="Times New Roman"/>
          <w:color w:val="000000"/>
          <w:sz w:val="24"/>
          <w:szCs w:val="24"/>
        </w:rPr>
      </w:pPr>
      <w:r>
        <w:rPr>
          <w:rFonts w:ascii="Times New Roman" w:hAnsi="Times New Roman"/>
          <w:color w:val="000000"/>
          <w:sz w:val="24"/>
          <w:szCs w:val="24"/>
        </w:rPr>
        <w:t>с. Тербуны</w:t>
      </w:r>
    </w:p>
    <w:p w14:paraId="66B8BB07">
      <w:pPr>
        <w:autoSpaceDE w:val="0"/>
        <w:autoSpaceDN w:val="0"/>
        <w:adjustRightInd w:val="0"/>
        <w:spacing w:after="0"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Об утверждении регламента территориальной избирательной </w:t>
      </w:r>
    </w:p>
    <w:p w14:paraId="248FEF04">
      <w:pPr>
        <w:autoSpaceDE w:val="0"/>
        <w:autoSpaceDN w:val="0"/>
        <w:adjustRightInd w:val="0"/>
        <w:spacing w:after="0"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комиссии Тербунского округа</w:t>
      </w:r>
    </w:p>
    <w:p w14:paraId="1BA36C3B">
      <w:pPr>
        <w:autoSpaceDE w:val="0"/>
        <w:autoSpaceDN w:val="0"/>
        <w:adjustRightInd w:val="0"/>
        <w:spacing w:after="0" w:line="240" w:lineRule="auto"/>
        <w:jc w:val="center"/>
        <w:rPr>
          <w:rFonts w:ascii="Times New Roman" w:hAnsi="Times New Roman" w:cs="Times New Roman"/>
          <w:bCs/>
          <w:color w:val="000000"/>
          <w:sz w:val="24"/>
          <w:szCs w:val="24"/>
        </w:rPr>
      </w:pPr>
    </w:p>
    <w:p w14:paraId="4D8B69B7">
      <w:pPr>
        <w:pStyle w:val="10"/>
        <w:spacing w:line="360" w:lineRule="auto"/>
        <w:ind w:firstLine="567"/>
        <w:jc w:val="both"/>
        <w:rPr>
          <w:b/>
          <w:color w:val="000000" w:themeColor="text1"/>
          <w:sz w:val="28"/>
        </w:rPr>
      </w:pPr>
      <w:r>
        <w:rPr>
          <w:color w:val="000000"/>
          <w:sz w:val="28"/>
        </w:rPr>
        <w:t xml:space="preserve">В целях организации деятельности территориальной избирательной комиссии, в соответствии со статьями 26, 28 Федерального закона от 12 июня 2002 № 67-ФЗ «Об основных гарантиях избирательных прав и права на участие в референдуме граждан Российской Федерации», </w:t>
      </w:r>
      <w:r>
        <w:rPr>
          <w:color w:val="000000" w:themeColor="text1"/>
          <w:sz w:val="28"/>
        </w:rPr>
        <w:t xml:space="preserve">территориальная избирательная комиссия Тербунского округа </w:t>
      </w:r>
      <w:r>
        <w:rPr>
          <w:b/>
          <w:color w:val="000000" w:themeColor="text1"/>
          <w:sz w:val="28"/>
        </w:rPr>
        <w:t xml:space="preserve">постановляет:  </w:t>
      </w:r>
    </w:p>
    <w:p w14:paraId="07D8DBD4">
      <w:pPr>
        <w:autoSpaceDE w:val="0"/>
        <w:autoSpaceDN w:val="0"/>
        <w:adjustRightInd w:val="0"/>
        <w:spacing w:after="0"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1. Утвердить Регламент территориальной избирательной комиссии (прилагается).</w:t>
      </w:r>
    </w:p>
    <w:p w14:paraId="733CC743">
      <w:pPr>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Контроль за выполнением настоящего постановления возложить на председателя территориальной избирательной комиссии </w:t>
      </w:r>
      <w:r>
        <w:rPr>
          <w:rFonts w:ascii="Times New Roman" w:hAnsi="Times New Roman" w:cs="Times New Roman"/>
          <w:color w:val="000000" w:themeColor="text1"/>
          <w:sz w:val="28"/>
        </w:rPr>
        <w:t>Тербунского округа</w:t>
      </w:r>
    </w:p>
    <w:p w14:paraId="5FA28D1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Ткачева Сергея Васильевича.</w:t>
      </w:r>
    </w:p>
    <w:p w14:paraId="07B6F931">
      <w:pPr>
        <w:spacing w:after="0" w:line="240" w:lineRule="auto"/>
        <w:jc w:val="both"/>
        <w:rPr>
          <w:rFonts w:ascii="Times New Roman" w:hAnsi="Times New Roman" w:cs="Times New Roman"/>
          <w:b/>
          <w:sz w:val="28"/>
          <w:szCs w:val="28"/>
        </w:rPr>
      </w:pPr>
    </w:p>
    <w:p w14:paraId="75EFA48F">
      <w:pPr>
        <w:spacing w:after="0" w:line="240" w:lineRule="auto"/>
        <w:jc w:val="both"/>
        <w:rPr>
          <w:rFonts w:ascii="Times New Roman" w:hAnsi="Times New Roman" w:cs="Times New Roman"/>
          <w:b/>
          <w:sz w:val="28"/>
          <w:szCs w:val="28"/>
        </w:rPr>
      </w:pPr>
    </w:p>
    <w:tbl>
      <w:tblPr>
        <w:tblStyle w:val="4"/>
        <w:tblW w:w="9792" w:type="dxa"/>
        <w:tblInd w:w="0" w:type="dxa"/>
        <w:tblLayout w:type="fixed"/>
        <w:tblCellMar>
          <w:top w:w="0" w:type="dxa"/>
          <w:left w:w="70" w:type="dxa"/>
          <w:bottom w:w="0" w:type="dxa"/>
          <w:right w:w="70" w:type="dxa"/>
        </w:tblCellMar>
      </w:tblPr>
      <w:tblGrid>
        <w:gridCol w:w="5291"/>
        <w:gridCol w:w="4501"/>
      </w:tblGrid>
      <w:tr w14:paraId="75FB87DF">
        <w:tblPrEx>
          <w:tblCellMar>
            <w:top w:w="0" w:type="dxa"/>
            <w:left w:w="70" w:type="dxa"/>
            <w:bottom w:w="0" w:type="dxa"/>
            <w:right w:w="70" w:type="dxa"/>
          </w:tblCellMar>
        </w:tblPrEx>
        <w:tc>
          <w:tcPr>
            <w:tcW w:w="5290" w:type="dxa"/>
          </w:tcPr>
          <w:p w14:paraId="4F3EA972">
            <w:pPr>
              <w:tabs>
                <w:tab w:val="left" w:pos="-2250"/>
              </w:tabs>
              <w:spacing w:after="0" w:line="240" w:lineRule="auto"/>
              <w:jc w:val="center"/>
              <w:rPr>
                <w:rFonts w:ascii="Times New Roman" w:hAnsi="Times New Roman" w:eastAsia="Times New Roman" w:cs="Times New Roman"/>
                <w:b/>
                <w:sz w:val="24"/>
                <w:szCs w:val="24"/>
              </w:rPr>
            </w:pPr>
            <w:r>
              <w:rPr>
                <w:rFonts w:ascii="Times New Roman" w:hAnsi="Times New Roman" w:cs="Times New Roman"/>
                <w:b/>
                <w:sz w:val="24"/>
                <w:szCs w:val="24"/>
              </w:rPr>
              <w:t>ПРЕДСЕДАТЕЛЬ ТЕРРИТОРИАЛЬНОЙ</w:t>
            </w:r>
          </w:p>
          <w:p w14:paraId="72C4262D">
            <w:pPr>
              <w:tabs>
                <w:tab w:val="left" w:pos="-225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ИЗБИРАТЕЛЬНОЙ КОМИССИИ</w:t>
            </w:r>
            <w:r>
              <w:rPr>
                <w:rFonts w:ascii="Times New Roman" w:hAnsi="Times New Roman" w:cs="Times New Roman"/>
                <w:b/>
                <w:sz w:val="24"/>
                <w:szCs w:val="24"/>
              </w:rPr>
              <w:br w:type="textWrapping"/>
            </w:r>
            <w:r>
              <w:rPr>
                <w:rFonts w:ascii="Times New Roman" w:hAnsi="Times New Roman" w:cs="Times New Roman"/>
                <w:b/>
                <w:sz w:val="24"/>
                <w:szCs w:val="24"/>
              </w:rPr>
              <w:t>ТЕРБУНСКОГО ОКРУГА</w:t>
            </w:r>
          </w:p>
          <w:p w14:paraId="7CF966F7">
            <w:pPr>
              <w:tabs>
                <w:tab w:val="left" w:pos="-2250"/>
              </w:tabs>
              <w:spacing w:after="0" w:line="240" w:lineRule="auto"/>
              <w:jc w:val="center"/>
              <w:rPr>
                <w:rFonts w:ascii="Times New Roman" w:hAnsi="Times New Roman" w:cs="Times New Roman"/>
                <w:b/>
                <w:sz w:val="24"/>
                <w:szCs w:val="24"/>
              </w:rPr>
            </w:pPr>
          </w:p>
          <w:p w14:paraId="499B734F">
            <w:pPr>
              <w:tabs>
                <w:tab w:val="left" w:pos="-2250"/>
              </w:tabs>
              <w:spacing w:after="0" w:line="240" w:lineRule="auto"/>
              <w:jc w:val="center"/>
              <w:rPr>
                <w:rFonts w:ascii="Times New Roman" w:hAnsi="Times New Roman" w:eastAsia="Times New Roman" w:cs="Times New Roman"/>
                <w:b/>
                <w:sz w:val="24"/>
                <w:szCs w:val="24"/>
              </w:rPr>
            </w:pPr>
          </w:p>
        </w:tc>
        <w:tc>
          <w:tcPr>
            <w:tcW w:w="4500" w:type="dxa"/>
          </w:tcPr>
          <w:p w14:paraId="40D42C41">
            <w:pPr>
              <w:tabs>
                <w:tab w:val="left" w:pos="-2250"/>
              </w:tabs>
              <w:spacing w:after="0" w:line="240" w:lineRule="auto"/>
              <w:jc w:val="right"/>
              <w:rPr>
                <w:rFonts w:ascii="Times New Roman" w:hAnsi="Times New Roman" w:eastAsia="Times New Roman" w:cs="Times New Roman"/>
                <w:b/>
                <w:sz w:val="24"/>
                <w:szCs w:val="24"/>
              </w:rPr>
            </w:pPr>
          </w:p>
          <w:p w14:paraId="53E44CA6">
            <w:pPr>
              <w:tabs>
                <w:tab w:val="left" w:pos="-2250"/>
              </w:tabs>
              <w:spacing w:after="0" w:line="240" w:lineRule="auto"/>
              <w:jc w:val="right"/>
              <w:rPr>
                <w:rFonts w:ascii="Times New Roman" w:hAnsi="Times New Roman" w:cs="Times New Roman"/>
                <w:b/>
                <w:sz w:val="24"/>
                <w:szCs w:val="24"/>
              </w:rPr>
            </w:pPr>
          </w:p>
          <w:p w14:paraId="2B3B9E74">
            <w:pPr>
              <w:tabs>
                <w:tab w:val="left" w:pos="-2250"/>
              </w:tabs>
              <w:spacing w:after="0" w:line="240" w:lineRule="auto"/>
              <w:jc w:val="right"/>
              <w:rPr>
                <w:rFonts w:ascii="Times New Roman" w:hAnsi="Times New Roman" w:eastAsia="Times New Roman" w:cs="Times New Roman"/>
                <w:b/>
                <w:sz w:val="24"/>
                <w:szCs w:val="24"/>
              </w:rPr>
            </w:pPr>
            <w:r>
              <w:rPr>
                <w:rFonts w:ascii="Times New Roman" w:hAnsi="Times New Roman" w:cs="Times New Roman"/>
                <w:b/>
                <w:sz w:val="24"/>
                <w:szCs w:val="24"/>
              </w:rPr>
              <w:t xml:space="preserve">                 С.В. ТКАЧЕВ  </w:t>
            </w:r>
          </w:p>
        </w:tc>
      </w:tr>
      <w:tr w14:paraId="2E0876E5">
        <w:tblPrEx>
          <w:tblCellMar>
            <w:top w:w="0" w:type="dxa"/>
            <w:left w:w="70" w:type="dxa"/>
            <w:bottom w:w="0" w:type="dxa"/>
            <w:right w:w="70" w:type="dxa"/>
          </w:tblCellMar>
        </w:tblPrEx>
        <w:tc>
          <w:tcPr>
            <w:tcW w:w="5290" w:type="dxa"/>
          </w:tcPr>
          <w:p w14:paraId="29A2BBE2">
            <w:pPr>
              <w:tabs>
                <w:tab w:val="left" w:pos="-2250"/>
              </w:tabs>
              <w:spacing w:after="0" w:line="240" w:lineRule="auto"/>
              <w:jc w:val="center"/>
              <w:rPr>
                <w:rFonts w:ascii="Times New Roman" w:hAnsi="Times New Roman" w:eastAsia="Times New Roman" w:cs="Times New Roman"/>
                <w:b/>
                <w:sz w:val="24"/>
                <w:szCs w:val="24"/>
              </w:rPr>
            </w:pPr>
            <w:r>
              <w:rPr>
                <w:rFonts w:ascii="Times New Roman" w:hAnsi="Times New Roman" w:cs="Times New Roman"/>
                <w:b/>
                <w:sz w:val="24"/>
                <w:szCs w:val="24"/>
              </w:rPr>
              <w:t>СЕКРЕТАРЬ ТЕРРИТОРИАЛЬНОЙ</w:t>
            </w:r>
          </w:p>
          <w:p w14:paraId="3478EC38">
            <w:pPr>
              <w:tabs>
                <w:tab w:val="left" w:pos="-225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ИЗБИРАТЕЛЬНОЙ КОМИССИИ</w:t>
            </w:r>
            <w:r>
              <w:rPr>
                <w:rFonts w:ascii="Times New Roman" w:hAnsi="Times New Roman" w:cs="Times New Roman"/>
                <w:b/>
                <w:sz w:val="24"/>
                <w:szCs w:val="24"/>
              </w:rPr>
              <w:br w:type="textWrapping"/>
            </w:r>
            <w:r>
              <w:rPr>
                <w:rFonts w:ascii="Times New Roman" w:hAnsi="Times New Roman" w:cs="Times New Roman"/>
                <w:b/>
                <w:sz w:val="24"/>
                <w:szCs w:val="24"/>
              </w:rPr>
              <w:t>ТЕРБУНСКОГО ОКРУГА</w:t>
            </w:r>
          </w:p>
          <w:p w14:paraId="5571AFE0">
            <w:pPr>
              <w:tabs>
                <w:tab w:val="left" w:pos="-2250"/>
              </w:tabs>
              <w:spacing w:after="0" w:line="240" w:lineRule="auto"/>
              <w:jc w:val="center"/>
              <w:rPr>
                <w:rFonts w:ascii="Times New Roman" w:hAnsi="Times New Roman" w:cs="Times New Roman"/>
                <w:b/>
                <w:sz w:val="24"/>
                <w:szCs w:val="24"/>
              </w:rPr>
            </w:pPr>
          </w:p>
          <w:p w14:paraId="119F3C32">
            <w:pPr>
              <w:tabs>
                <w:tab w:val="left" w:pos="-2250"/>
              </w:tabs>
              <w:spacing w:after="0" w:line="240" w:lineRule="auto"/>
              <w:jc w:val="center"/>
              <w:rPr>
                <w:rFonts w:ascii="Times New Roman" w:hAnsi="Times New Roman" w:eastAsia="Times New Roman" w:cs="Times New Roman"/>
                <w:b/>
                <w:sz w:val="24"/>
                <w:szCs w:val="24"/>
              </w:rPr>
            </w:pPr>
          </w:p>
        </w:tc>
        <w:tc>
          <w:tcPr>
            <w:tcW w:w="4500" w:type="dxa"/>
          </w:tcPr>
          <w:p w14:paraId="583F4965">
            <w:pPr>
              <w:tabs>
                <w:tab w:val="left" w:pos="-2250"/>
              </w:tabs>
              <w:spacing w:after="0" w:line="240" w:lineRule="auto"/>
              <w:jc w:val="right"/>
              <w:rPr>
                <w:rFonts w:ascii="Times New Roman" w:hAnsi="Times New Roman" w:eastAsia="Times New Roman" w:cs="Times New Roman"/>
                <w:b/>
                <w:sz w:val="24"/>
                <w:szCs w:val="24"/>
              </w:rPr>
            </w:pPr>
          </w:p>
          <w:p w14:paraId="195E47F2">
            <w:pPr>
              <w:tabs>
                <w:tab w:val="left" w:pos="-2250"/>
              </w:tabs>
              <w:spacing w:after="0" w:line="240" w:lineRule="auto"/>
              <w:jc w:val="right"/>
              <w:rPr>
                <w:rFonts w:ascii="Times New Roman" w:hAnsi="Times New Roman" w:cs="Times New Roman"/>
                <w:b/>
                <w:sz w:val="24"/>
                <w:szCs w:val="24"/>
              </w:rPr>
            </w:pPr>
          </w:p>
          <w:p w14:paraId="4B32BA09">
            <w:pPr>
              <w:tabs>
                <w:tab w:val="left" w:pos="-2250"/>
              </w:tabs>
              <w:spacing w:after="0" w:line="240" w:lineRule="auto"/>
              <w:jc w:val="right"/>
              <w:rPr>
                <w:rFonts w:ascii="Times New Roman" w:hAnsi="Times New Roman" w:eastAsia="Times New Roman" w:cs="Times New Roman"/>
                <w:b/>
                <w:sz w:val="24"/>
                <w:szCs w:val="24"/>
              </w:rPr>
            </w:pPr>
            <w:r>
              <w:rPr>
                <w:rFonts w:ascii="Times New Roman" w:hAnsi="Times New Roman" w:cs="Times New Roman"/>
                <w:b/>
                <w:sz w:val="24"/>
                <w:szCs w:val="24"/>
              </w:rPr>
              <w:t xml:space="preserve">                         И.Г. СМИРНОВА  </w:t>
            </w:r>
          </w:p>
        </w:tc>
      </w:tr>
    </w:tbl>
    <w:p w14:paraId="2116B750">
      <w:pPr>
        <w:pStyle w:val="25"/>
        <w:spacing w:after="0" w:line="240" w:lineRule="auto"/>
        <w:ind w:firstLine="0"/>
        <w:rPr>
          <w:color w:val="000000"/>
          <w:sz w:val="24"/>
          <w:szCs w:val="24"/>
        </w:rPr>
      </w:pPr>
    </w:p>
    <w:p w14:paraId="4C3C2552">
      <w:pPr>
        <w:pStyle w:val="18"/>
        <w:widowControl/>
        <w:spacing w:after="120"/>
        <w:ind w:firstLine="0"/>
        <w:rPr>
          <w:color w:val="000000"/>
          <w:sz w:val="24"/>
          <w:szCs w:val="24"/>
        </w:rPr>
      </w:pPr>
    </w:p>
    <w:p w14:paraId="106C0F08">
      <w:pPr>
        <w:pStyle w:val="18"/>
        <w:widowControl/>
        <w:spacing w:after="120"/>
        <w:ind w:firstLine="0"/>
        <w:rPr>
          <w:color w:val="000000"/>
          <w:sz w:val="24"/>
          <w:szCs w:val="24"/>
        </w:rPr>
      </w:pPr>
    </w:p>
    <w:p w14:paraId="24708DA2">
      <w:pPr>
        <w:pStyle w:val="18"/>
        <w:widowControl/>
        <w:spacing w:after="120"/>
        <w:ind w:firstLine="0"/>
        <w:rPr>
          <w:color w:val="000000"/>
          <w:sz w:val="24"/>
          <w:szCs w:val="24"/>
        </w:rPr>
      </w:pPr>
    </w:p>
    <w:p w14:paraId="778B0F16">
      <w:pPr>
        <w:pStyle w:val="18"/>
        <w:widowControl/>
        <w:spacing w:after="120"/>
        <w:ind w:firstLine="0"/>
        <w:rPr>
          <w:color w:val="000000"/>
          <w:sz w:val="24"/>
          <w:szCs w:val="24"/>
        </w:rPr>
        <w:sectPr>
          <w:headerReference r:id="rId5" w:type="default"/>
          <w:pgSz w:w="11906" w:h="16838"/>
          <w:pgMar w:top="1134" w:right="849" w:bottom="1134" w:left="1701" w:header="709" w:footer="709" w:gutter="0"/>
          <w:cols w:space="708" w:num="1"/>
          <w:titlePg/>
          <w:docGrid w:linePitch="360" w:charSpace="0"/>
        </w:sectPr>
      </w:pPr>
    </w:p>
    <w:p w14:paraId="4176B4FF">
      <w:pPr>
        <w:pStyle w:val="18"/>
        <w:widowControl/>
        <w:spacing w:after="120"/>
        <w:ind w:left="5669" w:leftChars="2577" w:firstLine="0"/>
        <w:jc w:val="center"/>
        <w:rPr>
          <w:color w:val="000000"/>
          <w:sz w:val="24"/>
          <w:szCs w:val="24"/>
        </w:rPr>
      </w:pPr>
      <w:r>
        <w:rPr>
          <w:color w:val="000000"/>
          <w:sz w:val="24"/>
          <w:szCs w:val="24"/>
        </w:rPr>
        <w:t>УТВЕРЖДЕН</w:t>
      </w:r>
    </w:p>
    <w:p w14:paraId="24FCC76C">
      <w:pPr>
        <w:pStyle w:val="18"/>
        <w:widowControl/>
        <w:ind w:left="5669" w:leftChars="2577" w:firstLine="0"/>
        <w:jc w:val="center"/>
        <w:rPr>
          <w:color w:val="000000"/>
          <w:sz w:val="24"/>
          <w:szCs w:val="24"/>
        </w:rPr>
      </w:pPr>
      <w:r>
        <w:rPr>
          <w:color w:val="000000"/>
          <w:sz w:val="24"/>
          <w:szCs w:val="24"/>
        </w:rPr>
        <w:t>постановлением территориальной</w:t>
      </w:r>
    </w:p>
    <w:p w14:paraId="47494B7D">
      <w:pPr>
        <w:pStyle w:val="18"/>
        <w:widowControl/>
        <w:ind w:left="5669" w:leftChars="2577" w:firstLine="0"/>
        <w:jc w:val="center"/>
        <w:rPr>
          <w:color w:val="000000"/>
          <w:sz w:val="24"/>
          <w:szCs w:val="24"/>
        </w:rPr>
      </w:pPr>
      <w:r>
        <w:rPr>
          <w:color w:val="000000"/>
          <w:sz w:val="24"/>
          <w:szCs w:val="24"/>
        </w:rPr>
        <w:t>избирательной комиссии Тербунского округа</w:t>
      </w:r>
    </w:p>
    <w:p w14:paraId="2DDCA93A">
      <w:pPr>
        <w:pStyle w:val="18"/>
        <w:widowControl/>
        <w:ind w:left="5669" w:leftChars="2577" w:firstLine="0"/>
        <w:jc w:val="center"/>
        <w:rPr>
          <w:color w:val="000000"/>
          <w:sz w:val="24"/>
          <w:szCs w:val="24"/>
        </w:rPr>
      </w:pPr>
      <w:r>
        <w:rPr>
          <w:color w:val="000000"/>
          <w:sz w:val="24"/>
          <w:szCs w:val="24"/>
        </w:rPr>
        <w:t>от 30 января 2026 года № 3/13</w:t>
      </w:r>
    </w:p>
    <w:p w14:paraId="08753F9E">
      <w:pPr>
        <w:autoSpaceDE w:val="0"/>
        <w:autoSpaceDN w:val="0"/>
        <w:adjustRightInd w:val="0"/>
        <w:spacing w:after="0" w:line="360" w:lineRule="auto"/>
        <w:jc w:val="right"/>
        <w:rPr>
          <w:rFonts w:ascii="Times New Roman" w:hAnsi="Times New Roman" w:cs="Times New Roman"/>
          <w:b/>
          <w:bCs/>
          <w:color w:val="000000"/>
          <w:sz w:val="28"/>
          <w:szCs w:val="28"/>
        </w:rPr>
      </w:pPr>
    </w:p>
    <w:p w14:paraId="31FCFE6E">
      <w:pPr>
        <w:autoSpaceDE w:val="0"/>
        <w:autoSpaceDN w:val="0"/>
        <w:adjustRightInd w:val="0"/>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РЕГЛАМЕНТ</w:t>
      </w:r>
    </w:p>
    <w:p w14:paraId="28B71E8C">
      <w:pPr>
        <w:autoSpaceDE w:val="0"/>
        <w:autoSpaceDN w:val="0"/>
        <w:adjustRightInd w:val="0"/>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ТЕРРИТОРИАЛЬНОЙ ИЗБИРАТЕЛЬНОЙ КОМИССИИ </w:t>
      </w:r>
      <w:r>
        <w:rPr>
          <w:rFonts w:ascii="Times New Roman" w:hAnsi="Times New Roman" w:cs="Times New Roman"/>
          <w:b/>
          <w:color w:val="000000" w:themeColor="text1"/>
          <w:sz w:val="28"/>
        </w:rPr>
        <w:t>ТЕРБУНСКОГО ОКРУГА</w:t>
      </w:r>
    </w:p>
    <w:p w14:paraId="675620BD">
      <w:pPr>
        <w:autoSpaceDE w:val="0"/>
        <w:autoSpaceDN w:val="0"/>
        <w:adjustRightInd w:val="0"/>
        <w:spacing w:after="0"/>
        <w:jc w:val="center"/>
        <w:rPr>
          <w:rFonts w:ascii="Times New Roman" w:hAnsi="Times New Roman" w:cs="Times New Roman"/>
          <w:b/>
          <w:bCs/>
          <w:color w:val="000000"/>
          <w:sz w:val="28"/>
          <w:szCs w:val="28"/>
        </w:rPr>
      </w:pPr>
    </w:p>
    <w:p w14:paraId="63562A1B">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 Общие положения</w:t>
      </w:r>
    </w:p>
    <w:p w14:paraId="424314C2">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w:t>
      </w:r>
    </w:p>
    <w:p w14:paraId="30CCBBDA">
      <w:pPr>
        <w:autoSpaceDE w:val="0"/>
        <w:autoSpaceDN w:val="0"/>
        <w:adjustRightInd w:val="0"/>
        <w:spacing w:after="0" w:line="240" w:lineRule="auto"/>
        <w:ind w:firstLine="708"/>
        <w:jc w:val="both"/>
        <w:rPr>
          <w:rFonts w:ascii="Times New Roman" w:hAnsi="Times New Roman" w:cs="Times New Roman"/>
          <w:i/>
          <w:color w:val="000000"/>
          <w:sz w:val="28"/>
          <w:szCs w:val="28"/>
        </w:rPr>
      </w:pPr>
      <w:r>
        <w:rPr>
          <w:rFonts w:ascii="Times New Roman" w:hAnsi="Times New Roman" w:cs="Times New Roman"/>
          <w:color w:val="000000"/>
          <w:sz w:val="28"/>
          <w:szCs w:val="28"/>
        </w:rPr>
        <w:t xml:space="preserve">Настоящий регламент определяет порядок и правила работы территориальной избирательной комиссии </w:t>
      </w:r>
      <w:r>
        <w:rPr>
          <w:rFonts w:ascii="Times New Roman" w:hAnsi="Times New Roman" w:cs="Times New Roman"/>
          <w:color w:val="000000" w:themeColor="text1"/>
          <w:sz w:val="28"/>
        </w:rPr>
        <w:t>Тербунского округа</w:t>
      </w:r>
      <w:r>
        <w:rPr>
          <w:color w:val="000000" w:themeColor="text1"/>
          <w:sz w:val="28"/>
        </w:rPr>
        <w:t xml:space="preserve"> </w:t>
      </w:r>
      <w:r>
        <w:rPr>
          <w:rFonts w:ascii="Times New Roman" w:hAnsi="Times New Roman" w:cs="Times New Roman"/>
          <w:color w:val="000000"/>
          <w:sz w:val="28"/>
          <w:szCs w:val="28"/>
        </w:rPr>
        <w:t xml:space="preserve">(далее - Комиссия), обеспечивающей в соответствии с компетенцией, установленной Федеральным законом </w:t>
      </w:r>
      <w:r>
        <w:rPr>
          <w:rFonts w:ascii="Times New Roman" w:hAnsi="Times New Roman" w:cs="Times New Roman"/>
          <w:color w:val="000000" w:themeColor="text1"/>
          <w:sz w:val="28"/>
          <w:szCs w:val="28"/>
        </w:rPr>
        <w:t>ФЗ № 67</w:t>
      </w:r>
      <w:r>
        <w:rPr>
          <w:rFonts w:ascii="Times New Roman" w:hAnsi="Times New Roman" w:cs="Times New Roman"/>
          <w:color w:val="000000"/>
          <w:sz w:val="28"/>
          <w:szCs w:val="28"/>
        </w:rPr>
        <w:t xml:space="preserve"> (далее  - ФЗ № 67), иными федеральными законами, законами Липецкой области, на соответствующей территории реализацию мероприятий, связанных с подготовкой и проведением выборов Президента Российской Федерации, депутатов Государственной Думы Федерального Собрания Российской Федерации, Губернатора Липецкой области, депутатов Липецкого областного Совета депутатов, депутатов представительных органов муниципальных образований в Липецкой области</w:t>
      </w:r>
      <w:r>
        <w:rPr>
          <w:rFonts w:ascii="Times New Roman" w:hAnsi="Times New Roman" w:cs="Times New Roman"/>
          <w:i/>
          <w:color w:val="000000"/>
          <w:sz w:val="28"/>
          <w:szCs w:val="28"/>
        </w:rPr>
        <w:t>,</w:t>
      </w:r>
      <w:r>
        <w:rPr>
          <w:rFonts w:ascii="Times New Roman" w:hAnsi="Times New Roman" w:cs="Times New Roman"/>
          <w:color w:val="000000"/>
          <w:sz w:val="28"/>
          <w:szCs w:val="28"/>
        </w:rPr>
        <w:t xml:space="preserve"> референдумов, контроль за соблюдением избирательных прав и права на участие в референдуме граждан Российской Федерации, развитие избирательной системы в Российской Федерации, внедрение, эксплуатацию и развитие средств автоматизации, правовое обучение избирателей, профессиональную подготовку членов комиссий и других организаторов выборов, референдумов, методическую, организационно-техническую помощь участковым избирательным комиссиям</w:t>
      </w:r>
      <w:r>
        <w:rPr>
          <w:rFonts w:ascii="Times New Roman" w:hAnsi="Times New Roman" w:cs="Times New Roman"/>
          <w:i/>
          <w:color w:val="000000"/>
          <w:sz w:val="28"/>
          <w:szCs w:val="28"/>
        </w:rPr>
        <w:t>.</w:t>
      </w:r>
    </w:p>
    <w:p w14:paraId="33FDF4ED">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w:t>
      </w:r>
    </w:p>
    <w:p w14:paraId="137AE373">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Комиссия действует на постоянной основе, имеет печать со своим наименованием, а также бланки со своим наименованием и реквизитами, образцы которых утверждаются Комиссией.</w:t>
      </w:r>
    </w:p>
    <w:p w14:paraId="2CC19D91">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3</w:t>
      </w:r>
    </w:p>
    <w:p w14:paraId="496C8E09">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Комиссия в своей деятельности руководствуется Конституцией Российской Федерации, Федеральными конституционными законами, федеральными законами, законами Липецкой области, решениями вышестоящих избирательных комиссий, настоящим Регламентом, иными нормативными правовыми актами, Уставом Липецкой области, Уставом муниципального образования.</w:t>
      </w:r>
    </w:p>
    <w:p w14:paraId="203E92F2">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Комиссия в пределах своей компетенции независима от органов государственной власти и органов местного самоуправления и не связана решениями политических партий и иных общественных объединений. </w:t>
      </w:r>
    </w:p>
    <w:p w14:paraId="266288EF">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4</w:t>
      </w:r>
    </w:p>
    <w:p w14:paraId="4F5D1785">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Срок полномочий Комиссии составляет пять лет. Если срок полномочий Комиссии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w:t>
      </w:r>
    </w:p>
    <w:p w14:paraId="44AF0A7F">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5</w:t>
      </w:r>
    </w:p>
    <w:p w14:paraId="792C0045">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Комиссия состоит из 10 членов с правом решающего голоса. Формирование Комиссии осуществляется избирательной комиссией Липецкой области на основе 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Липецком областном Совете депутатов,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 общественных объединений, а также предложений Совета депутатов Тербунского муниципального округа, собраний избирателей по месту жительства, работы, службы, учебы, Комиссии предыдущего состава.</w:t>
      </w:r>
    </w:p>
    <w:p w14:paraId="2EB6AD50">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6</w:t>
      </w:r>
    </w:p>
    <w:p w14:paraId="5BC02795">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Полномочия члена Комиссии с правом решающего голоса приостанавливаются в случае, предусмотренном пунктом 7 статьи 29 ФЗ №67.</w:t>
      </w:r>
    </w:p>
    <w:p w14:paraId="3EB79DB7">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7</w:t>
      </w:r>
    </w:p>
    <w:p w14:paraId="3F5763A3">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 появлении оснований для досрочного освобождения (прекращения полномочий) члена Комиссии с правом решающего голоса от обязанностей члена комиссии в случаях, предусмотренных пунктами 6 - 6.2, 8 статьи 29 ФЗ № 67, избирательная комиссия Липецкой области назначает нового члена Комиссии с правом решающего голоса вместо выбывшего </w:t>
      </w:r>
      <w:r>
        <w:rPr>
          <w:rFonts w:ascii="Times New Roman" w:hAnsi="Times New Roman" w:eastAsia="SimSun" w:cs="Times New Roman"/>
          <w:color w:val="000000"/>
          <w:sz w:val="27"/>
          <w:szCs w:val="27"/>
          <w:shd w:val="clear" w:color="auto" w:fill="FFFFFF"/>
        </w:rPr>
        <w:t xml:space="preserve">не позднее чем в </w:t>
      </w:r>
      <w:r>
        <w:rPr>
          <w:rFonts w:ascii="Times New Roman" w:hAnsi="Times New Roman" w:cs="Times New Roman"/>
          <w:sz w:val="28"/>
          <w:szCs w:val="28"/>
        </w:rPr>
        <w:t xml:space="preserve">тридцатидневный </w:t>
      </w:r>
      <w:r>
        <w:rPr>
          <w:rFonts w:ascii="Times New Roman" w:hAnsi="Times New Roman" w:eastAsia="SimSun" w:cs="Times New Roman"/>
          <w:color w:val="000000"/>
          <w:sz w:val="27"/>
          <w:szCs w:val="27"/>
          <w:shd w:val="clear" w:color="auto" w:fill="FFFFFF"/>
        </w:rPr>
        <w:t>срок</w:t>
      </w:r>
      <w:r>
        <w:rPr>
          <w:rFonts w:ascii="Times New Roman" w:hAnsi="Times New Roman" w:cs="Times New Roman"/>
          <w:color w:val="000000" w:themeColor="text1"/>
          <w:sz w:val="28"/>
          <w:szCs w:val="28"/>
        </w:rPr>
        <w:t xml:space="preserve">, а в период избирательной кампании, в период со дня назначения референдума и до окончания кампании референдума – не позднее чем через десять дней со дня его выбытия, в соответствии с требованиями, установленными ФЗ № 67. </w:t>
      </w:r>
    </w:p>
    <w:p w14:paraId="2E735010">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случае, если в указанный срок избирательная комиссия Липецкой области не примет решение о досрочном прекращении полномочий члена Комиссии, его полномочия прекращаются решением Комиссии, в которую он входит, в течение трех дней со дня истечения этого срока.</w:t>
      </w:r>
    </w:p>
    <w:p w14:paraId="6461995E">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8</w:t>
      </w:r>
    </w:p>
    <w:p w14:paraId="4798F3CC">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Деятельность Комиссии осуществляется на основе коллегиальности, свободного, открытого и гласного обсуждения и решения вопросов, входящих в ее компетенцию.</w:t>
      </w:r>
    </w:p>
    <w:p w14:paraId="00734FC6">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9</w:t>
      </w:r>
    </w:p>
    <w:p w14:paraId="16A04C8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Решения и иные акты Комиссии, принятые в пределах ее компетенции, обязательны для органов местного самоуправления, нижестоящих избирательных комиссий, кандидатов, избирательных объединений, общественных объединений, организаций, должностных лиц, избирателей и участников референдума. </w:t>
      </w:r>
    </w:p>
    <w:p w14:paraId="0443CD70">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Решения и иные акты Комиссии не подлежат государственной регистрации.</w:t>
      </w:r>
    </w:p>
    <w:p w14:paraId="6E05A0E0">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10</w:t>
      </w:r>
    </w:p>
    <w:p w14:paraId="1E3E12CA">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Место нахождения Комиссии – Липецкая область, Тербунский округ, село Тербуны, ул. Ленина д.84.</w:t>
      </w:r>
    </w:p>
    <w:p w14:paraId="327360E0">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Заседания Комиссии проводятся по месту ее постоянного пребывания или в режиме видео-конференц-связи. Комиссия вправе принять решение о проведении выездного заседания.</w:t>
      </w:r>
    </w:p>
    <w:p w14:paraId="7DACB681">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8D0DF74">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 Председатель, заместитель председателя и секретарь Комиссии</w:t>
      </w:r>
    </w:p>
    <w:p w14:paraId="47DD1BEC">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11</w:t>
      </w:r>
    </w:p>
    <w:p w14:paraId="0CA6C51A">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Председатель Комиссии назначается на должность из числа членов с правом решающего голоса и освобождается от должности избирательной комиссией Липецкой области.</w:t>
      </w:r>
    </w:p>
    <w:p w14:paraId="5201E91C">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12</w:t>
      </w:r>
    </w:p>
    <w:p w14:paraId="19F300E4">
      <w:pPr>
        <w:autoSpaceDE w:val="0"/>
        <w:autoSpaceDN w:val="0"/>
        <w:adjustRightInd w:val="0"/>
        <w:spacing w:after="0" w:line="240" w:lineRule="auto"/>
        <w:ind w:firstLine="708"/>
        <w:jc w:val="both"/>
        <w:rPr>
          <w:rFonts w:ascii="Times New Roman" w:hAnsi="Times New Roman" w:cs="Times New Roman"/>
          <w:b/>
          <w:bCs/>
          <w:color w:val="000000"/>
          <w:sz w:val="28"/>
          <w:szCs w:val="28"/>
        </w:rPr>
      </w:pPr>
      <w:r>
        <w:rPr>
          <w:rFonts w:ascii="Times New Roman" w:hAnsi="Times New Roman" w:cs="Times New Roman"/>
          <w:sz w:val="28"/>
          <w:szCs w:val="28"/>
        </w:rPr>
        <w:t>Заместитель председателя и секретарь Комиссии избираются на первом заседании комиссии из числа членов Комиссии с правом решающего голоса тайным голосованием с использованием бюллетеней для голосования.</w:t>
      </w:r>
    </w:p>
    <w:p w14:paraId="3C23FDC3">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13</w:t>
      </w:r>
    </w:p>
    <w:p w14:paraId="05FAD443">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 бюллетень для тайного голосования на должность заместителя председателя и секретаря Комиссии вносятся фамилии, имена, отчества кандидатов, выдвинутых членами Комиссии с правом решающего голоса, за исключением лиц, взявших самоотвод. Самоотвод принимается без голосования.</w:t>
      </w:r>
    </w:p>
    <w:p w14:paraId="757B816C">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Допускается включение в бюллетень для голосования одного кандидата. Кандидатура на должность заместителя председателя и секретаря Комиссии включается в бюллетень для тайного голосования в порядке выдвижения. </w:t>
      </w:r>
    </w:p>
    <w:p w14:paraId="2670DDEE">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 бюллетене справа от фамилии, имени, отчества кандидата помещается пустой квадрат. При заполнении бюллетеня в квадрате, расположенном напротив фамилии кандидата, за которого подается голос, может быть поставлен любой знак.</w:t>
      </w:r>
    </w:p>
    <w:p w14:paraId="2446092F">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 случае, если член Комиссии при заполнении бюллетеня совершил ошибку, он вправе получить новый бюллетень взамен испорченного. Испорченный бюллетень погашается, о чем составляется акт.</w:t>
      </w:r>
    </w:p>
    <w:p w14:paraId="66A42CE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Избранным на должность заместителя председателя, секретаря Комиссии</w:t>
      </w:r>
    </w:p>
    <w:p w14:paraId="71B1BC6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считается кандидат, получивший в результате тайного голосования большинство голосов от установленного числа членов Комиссии с правом решающего голоса.</w:t>
      </w:r>
    </w:p>
    <w:p w14:paraId="3C914C6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 случае, если в бюллетень для голосования было включено два или более кандидата, и не один из них не набрал требуемого для избрания числа голосов членов Комиссии, проводятся следующие процедуры:</w:t>
      </w:r>
    </w:p>
    <w:p w14:paraId="64D6C49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если в первом туре голосования в бюллетень было включено два кандидата, то второй тур голосования проводится по одному кандидату, получившему наибольшее число голосов;</w:t>
      </w:r>
    </w:p>
    <w:p w14:paraId="141CCCBC">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при включении в бюллетень в первом туре голосования более двух кандидатов второй тур голосования проводится по двум кандидатам, получившим наибольшее число голосов;</w:t>
      </w:r>
    </w:p>
    <w:p w14:paraId="79A71C79">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если два и более кандидата, следующие по порядку в бюллетене за кандидатом, получившим наибольшее число голосов, получил равное число голосов, то все они вместе с кандидатом, получившим наибольшее число голосов, включаются в бюллетень для голосования во втором туре голосования.</w:t>
      </w:r>
    </w:p>
    <w:p w14:paraId="0E87036E">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Кандидату для избрания на должность заместителя председателя, секретаря Комиссии по итогам второго тура голосования необходимо набрать большинство голосов от установленного числа членов Комиссии с правом решающего голоса.</w:t>
      </w:r>
    </w:p>
    <w:p w14:paraId="3E67AB13">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Если во втором туре голосования ни один из кандидатов не набрал необходимого числа голосов, то процедура выборов, начиная с выдвижения, повторяется до избрания заместителя председателя, секретаря Комиссии.</w:t>
      </w:r>
    </w:p>
    <w:p w14:paraId="61AF49E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Избрание заместителя председателя, секретаря Комиссии оформляется решением комиссии. Протоколы счетной комиссии, бюллетени для голосования по избранию заместителя председателя, секретаря Комиссии опечатываются в конверты и хранятся в делах Комиссии вместе с протоколом заседания. </w:t>
      </w:r>
    </w:p>
    <w:p w14:paraId="0DFF4983">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14</w:t>
      </w:r>
    </w:p>
    <w:p w14:paraId="3D4692EA">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Председатель Комиссии:</w:t>
      </w:r>
    </w:p>
    <w:p w14:paraId="667EEDF5">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организует работу Комиссии;</w:t>
      </w:r>
    </w:p>
    <w:p w14:paraId="64AB4CD3">
      <w:pPr>
        <w:pStyle w:val="20"/>
        <w:widowControl/>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 представляет Комиссию во взаимоотношениях </w:t>
      </w:r>
      <w:r>
        <w:rPr>
          <w:rFonts w:ascii="Times New Roman" w:hAnsi="Times New Roman" w:cs="Times New Roman"/>
          <w:sz w:val="28"/>
          <w:szCs w:val="28"/>
        </w:rPr>
        <w:t>с Центральной избирательной комиссией Российской Федерации, избирательной комиссией Липецкой области, органами государственной власти, судами, правоохранительными органами, иными государственными органами, органами местного самоуправления, избирательными комиссиями, политическими партиями, общественными объединениями, другими организациями и должностными лицами, средствами массовой информации, гражданами;</w:t>
      </w:r>
    </w:p>
    <w:p w14:paraId="6CDA1DF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созывает и председательствует на заседаниях Комиссии;</w:t>
      </w:r>
    </w:p>
    <w:p w14:paraId="541E8174">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при принятии решений Комиссией в случае равного числа голосов «за» и «против», голос председателя Комиссии является решающим;</w:t>
      </w:r>
    </w:p>
    <w:p w14:paraId="17024D1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подписывает постановления Комиссии, протоколы заседаний комиссии, а также иные документы, предусмотренные Регламентом Комиссии;</w:t>
      </w:r>
    </w:p>
    <w:p w14:paraId="40DBBC6C">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подписывает договоры, соглашения и иные документы Комиссии;</w:t>
      </w:r>
    </w:p>
    <w:p w14:paraId="141B4623">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действует без доверенности от имени Комиссии;</w:t>
      </w:r>
    </w:p>
    <w:p w14:paraId="26C9BE0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дает поручения заместителю председателя, секретарю и членам Комиссии, выдает доверенности по представлению Комиссии в судах при рассмотрении избирательных споров, одной из сторон, в которых является Комиссия;</w:t>
      </w:r>
    </w:p>
    <w:p w14:paraId="6232564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координирует работу </w:t>
      </w:r>
      <w:r>
        <w:rPr>
          <w:rFonts w:ascii="Times New Roman" w:hAnsi="Times New Roman" w:cs="Times New Roman"/>
          <w:color w:val="000000" w:themeColor="text1"/>
          <w:sz w:val="28"/>
          <w:szCs w:val="28"/>
        </w:rPr>
        <w:t xml:space="preserve">ГАС «Выборы», </w:t>
      </w:r>
      <w:r>
        <w:rPr>
          <w:rFonts w:ascii="Times New Roman" w:hAnsi="Times New Roman" w:cs="Times New Roman"/>
          <w:sz w:val="28"/>
          <w:szCs w:val="28"/>
        </w:rPr>
        <w:t>взаимодействует с избирательной комиссией Липецкой области по данному вопросу;</w:t>
      </w:r>
    </w:p>
    <w:p w14:paraId="1EB9BC1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взаимодействует с главой местной администрации по вопросам регистрации (учета) избирателей, участников референдума, составлению списков избирателей, участников референдума;</w:t>
      </w:r>
    </w:p>
    <w:p w14:paraId="75B03F79">
      <w:pPr>
        <w:pStyle w:val="20"/>
        <w:widowControl/>
        <w:ind w:firstLine="708"/>
        <w:jc w:val="both"/>
        <w:rPr>
          <w:rFonts w:ascii="Times New Roman" w:hAnsi="Times New Roman" w:cs="Times New Roman"/>
          <w:sz w:val="28"/>
          <w:szCs w:val="28"/>
        </w:rPr>
      </w:pPr>
      <w:r>
        <w:rPr>
          <w:rFonts w:ascii="Times New Roman" w:hAnsi="Times New Roman" w:cs="Times New Roman"/>
          <w:sz w:val="28"/>
          <w:szCs w:val="28"/>
        </w:rPr>
        <w:t>- организует работу по формированию и обучению нижестоящих избирательных комиссий, обеспечивает соблюдение законодательства в работе нижестоящих избирательных комиссий;</w:t>
      </w:r>
    </w:p>
    <w:p w14:paraId="1B694A14">
      <w:pPr>
        <w:pStyle w:val="20"/>
        <w:widowControl/>
        <w:ind w:firstLine="708"/>
        <w:jc w:val="both"/>
        <w:rPr>
          <w:rFonts w:ascii="Times New Roman" w:hAnsi="Times New Roman" w:cs="Times New Roman"/>
          <w:sz w:val="28"/>
          <w:szCs w:val="28"/>
        </w:rPr>
      </w:pPr>
      <w:r>
        <w:rPr>
          <w:rFonts w:ascii="Times New Roman" w:hAnsi="Times New Roman" w:cs="Times New Roman"/>
          <w:sz w:val="28"/>
          <w:szCs w:val="28"/>
        </w:rPr>
        <w:t>- организует работу по формированию предложений в резерв кадров для назначения членами нижестоящих избирательных комиссий;</w:t>
      </w:r>
    </w:p>
    <w:p w14:paraId="0488B455">
      <w:pPr>
        <w:pStyle w:val="20"/>
        <w:widowControl/>
        <w:ind w:firstLine="708"/>
        <w:jc w:val="both"/>
        <w:rPr>
          <w:rFonts w:ascii="Times New Roman" w:hAnsi="Times New Roman" w:cs="Times New Roman"/>
          <w:sz w:val="28"/>
          <w:szCs w:val="28"/>
        </w:rPr>
      </w:pPr>
      <w:r>
        <w:rPr>
          <w:rFonts w:ascii="Times New Roman" w:hAnsi="Times New Roman" w:cs="Times New Roman"/>
          <w:sz w:val="28"/>
          <w:szCs w:val="28"/>
        </w:rPr>
        <w:t>- организует материально-техническое обеспечение деятельности Комиссии и нижестоящих избирательных комиссий;</w:t>
      </w:r>
    </w:p>
    <w:p w14:paraId="7D1C7EDE">
      <w:pPr>
        <w:pStyle w:val="20"/>
        <w:widowControl/>
        <w:ind w:firstLine="708"/>
        <w:jc w:val="both"/>
        <w:rPr>
          <w:rFonts w:ascii="Times New Roman" w:hAnsi="Times New Roman" w:cs="Times New Roman"/>
          <w:sz w:val="28"/>
          <w:szCs w:val="28"/>
        </w:rPr>
      </w:pPr>
      <w:r>
        <w:rPr>
          <w:rFonts w:ascii="Times New Roman" w:hAnsi="Times New Roman" w:cs="Times New Roman"/>
          <w:sz w:val="28"/>
          <w:szCs w:val="28"/>
        </w:rPr>
        <w:t>- организует и контролирует в Комиссии работу по рассмотрению обращений граждан;</w:t>
      </w:r>
    </w:p>
    <w:p w14:paraId="3C6E89D3">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осуществляет контроль реализации решений Комиссии;</w:t>
      </w:r>
    </w:p>
    <w:p w14:paraId="315421C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является распорядителем финансовых средств, получаемых Комиссией из Федерального бюджета, областного бюджета, местного бюджета или иных источников, предусмотренные федеральными конституционными законами, федеральными законами, законами Липецкой области;</w:t>
      </w:r>
    </w:p>
    <w:p w14:paraId="0236A3AE">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осуществляет иные полномочия, предусмотренные федеральными конституционными законами, федеральными законами, законами Липецкой области, Регламентом Комиссии.</w:t>
      </w:r>
    </w:p>
    <w:p w14:paraId="72660449">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15</w:t>
      </w:r>
    </w:p>
    <w:p w14:paraId="1BF79C89">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Заместитель председателя Комиссии:</w:t>
      </w:r>
    </w:p>
    <w:p w14:paraId="2DB5183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осуществляет полномочия председателя Комиссии в случае его временного отсутствия, невозможности выполнения им своих обязанностей;</w:t>
      </w:r>
    </w:p>
    <w:p w14:paraId="56A8995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выполняет поручения председателя Комиссии;</w:t>
      </w:r>
    </w:p>
    <w:p w14:paraId="78C2A8A9">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организует работу по конкретным направлениям деятельности Комиссии в соответствии с распределением обязанностей между членами Комиссии;</w:t>
      </w:r>
    </w:p>
    <w:p w14:paraId="5520083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осуществляет иные полномочия, предусмотренные федеральными конституционными законами, федеральными законами, законами Липецкой области, Регламентом Комиссии.</w:t>
      </w:r>
    </w:p>
    <w:p w14:paraId="6F13EBF6">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16</w:t>
      </w:r>
    </w:p>
    <w:p w14:paraId="1511339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Секретарь Комиссии:</w:t>
      </w:r>
    </w:p>
    <w:p w14:paraId="55108A34">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обеспечивает подготовку заседаний Комиссии, вносимых на ее рассмотрение материалов, в т.ч. своевременно извещает членов Комиссии о дате, месте, времени заседаний Комиссии;</w:t>
      </w:r>
    </w:p>
    <w:p w14:paraId="11DF01FB">
      <w:pPr>
        <w:pStyle w:val="20"/>
        <w:widowControl/>
        <w:ind w:firstLine="708"/>
        <w:jc w:val="both"/>
        <w:rPr>
          <w:rFonts w:ascii="Times New Roman" w:hAnsi="Times New Roman" w:cs="Times New Roman"/>
          <w:sz w:val="28"/>
          <w:szCs w:val="28"/>
        </w:rPr>
      </w:pPr>
      <w:r>
        <w:rPr>
          <w:rFonts w:ascii="Times New Roman" w:hAnsi="Times New Roman" w:cs="Times New Roman"/>
          <w:sz w:val="28"/>
          <w:szCs w:val="28"/>
        </w:rPr>
        <w:t>- подписывает постановления Комиссии и протоколы заседаний Комиссии;</w:t>
      </w:r>
    </w:p>
    <w:p w14:paraId="3BE67CC6">
      <w:pPr>
        <w:pStyle w:val="20"/>
        <w:widowControl/>
        <w:ind w:firstLine="708"/>
        <w:jc w:val="both"/>
        <w:rPr>
          <w:rFonts w:ascii="Times New Roman" w:hAnsi="Times New Roman" w:cs="Times New Roman"/>
          <w:sz w:val="28"/>
          <w:szCs w:val="28"/>
        </w:rPr>
      </w:pPr>
      <w:r>
        <w:rPr>
          <w:rFonts w:ascii="Times New Roman" w:hAnsi="Times New Roman" w:cs="Times New Roman"/>
          <w:sz w:val="28"/>
          <w:szCs w:val="28"/>
        </w:rPr>
        <w:t>- вносит председателю Комиссии предложения по рассмотрению на заседаниях Комиссии соответствующих вопросов, рассмотрение которых входит в компетенцию Комиссии;</w:t>
      </w:r>
    </w:p>
    <w:p w14:paraId="272DF991">
      <w:pPr>
        <w:pStyle w:val="20"/>
        <w:widowControl/>
        <w:ind w:firstLine="708"/>
        <w:jc w:val="both"/>
        <w:rPr>
          <w:rFonts w:ascii="Times New Roman" w:hAnsi="Times New Roman" w:cs="Times New Roman"/>
          <w:sz w:val="28"/>
          <w:szCs w:val="28"/>
        </w:rPr>
      </w:pPr>
      <w:r>
        <w:rPr>
          <w:rFonts w:ascii="Times New Roman" w:hAnsi="Times New Roman" w:cs="Times New Roman"/>
          <w:sz w:val="28"/>
          <w:szCs w:val="28"/>
        </w:rPr>
        <w:t>- по согласованию с председателем Комиссии обеспечивает подготовку и передачу документов Комиссии, нижестоящих комиссий в архив;</w:t>
      </w:r>
    </w:p>
    <w:p w14:paraId="4EABC860">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осуществляет делопроизводство Комиссии;</w:t>
      </w:r>
    </w:p>
    <w:p w14:paraId="1EDB4A6A">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организует перспективное и текущее планирование деятельности Комиссии, контролирует ход выполнения планов ее работы;</w:t>
      </w:r>
    </w:p>
    <w:p w14:paraId="5D51EEB0">
      <w:pPr>
        <w:pStyle w:val="20"/>
        <w:widowControl/>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 обеспечивает доведение решений и иных материалов Комиссии до сведения </w:t>
      </w:r>
      <w:r>
        <w:rPr>
          <w:rFonts w:ascii="Times New Roman" w:hAnsi="Times New Roman" w:cs="Times New Roman"/>
          <w:sz w:val="28"/>
          <w:szCs w:val="28"/>
        </w:rPr>
        <w:t>членов Комиссии, избирательной комиссии Липецкой области, нижестоящих избирательных комиссий, органов государственной власти, органов местного самоуправления, учреждений и организаций, должностных лиц, общественных объединений, средств массовой информации, граждан;</w:t>
      </w:r>
    </w:p>
    <w:p w14:paraId="7A51C55C">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выполняет поручения председателя Комиссии;</w:t>
      </w:r>
    </w:p>
    <w:p w14:paraId="5A054E0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осуществляет оперативный контроль за выполнением членами Комиссии поручений председателя Комиссии;</w:t>
      </w:r>
    </w:p>
    <w:p w14:paraId="7C693D4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осуществляет иные полномочия, предусмотренные федеральными конституционными законами, федеральными законами, законами Липецкой области, Регламентом Комиссии.</w:t>
      </w:r>
    </w:p>
    <w:p w14:paraId="608761CC">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6731D5BD">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 Члены Комиссии</w:t>
      </w:r>
    </w:p>
    <w:p w14:paraId="5A56946E">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17</w:t>
      </w:r>
    </w:p>
    <w:p w14:paraId="0C23E470">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Члены Комиссии с правом решающего голоса осуществляют свои полномочия на основании планов работы и решений Комиссии, поручений председателя, заместителя председателя, секретаря Комиссии, распределения обязанностей по направлениям деятельности.</w:t>
      </w:r>
    </w:p>
    <w:p w14:paraId="05DDEC3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Члены Комиссии с правом решающего голоса организуют работу по следующим направлениям деятельности Комиссии:</w:t>
      </w:r>
    </w:p>
    <w:p w14:paraId="3B386D48">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обобщение и анализ практики проведения выборов и референдумов на соответствующей территории, подготовка предложений по совершенствованию и развитию правоприменительной практики и законодательства области;</w:t>
      </w:r>
    </w:p>
    <w:p w14:paraId="00D146F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организация эксплуатации и развития средств автоматизации, обучения организаторов выборов и избирателей;</w:t>
      </w:r>
    </w:p>
    <w:p w14:paraId="6AB8DEE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контроль за источниками поступления, учетом и использованием денежных средств избирательных фондов кандидатов, проверка финансовых отчетов кандидатов;</w:t>
      </w:r>
    </w:p>
    <w:p w14:paraId="1A9D41F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контроль за организацией государственной системы регистрации (учета) избирателей, участников референдума, формированием и ведением регистра избирателей, участников референдума;</w:t>
      </w:r>
    </w:p>
    <w:p w14:paraId="1BE1035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обеспечение прав избирателей, участников референдума на получение информации о выборах и референдумах;</w:t>
      </w:r>
    </w:p>
    <w:p w14:paraId="4971F4A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разработка и реализация мероприятий, связанных с правовым обучением избирателей, профессиональной подготовкой членов комиссий и других организаторов выборов, референдумов, изданием необходимой печатной продукции;</w:t>
      </w:r>
    </w:p>
    <w:p w14:paraId="5FDA420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контроль за соблюдением избирательных прав и права на участие в референдуме граждан Российской Федерации при подготовке и проведении выборов;</w:t>
      </w:r>
    </w:p>
    <w:p w14:paraId="3FC75408">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контроль за соблюдением избирательных прав и права на участие в референдуме военнослужащих;</w:t>
      </w:r>
    </w:p>
    <w:p w14:paraId="55DDF311">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взаимодействие с судебными и правоохранительными органами по вопросам обеспечения и защиты избирательных прав и права на участие в референдуме граждан Российской Федерации;</w:t>
      </w:r>
    </w:p>
    <w:p w14:paraId="463FA101">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рассмотрение жалоб на решения и действия (бездействие) нижестоящих избирательных комиссий;</w:t>
      </w:r>
    </w:p>
    <w:p w14:paraId="01E0371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внедрение нормативов технологического оборудования, необходимого для работы нижестоящих избирательных комиссий и комиссий референдума, и контроль за их соблюдением; </w:t>
      </w:r>
    </w:p>
    <w:p w14:paraId="277512F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контроль за соблюдением избирательных прав и права на участие в референдуме лиц с ограниченными физическими возможностями.</w:t>
      </w:r>
    </w:p>
    <w:p w14:paraId="2CEA453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Распределение обязанностей членов Комиссии с правом решающего голоса по направлениям деятельности Комиссии осуществляется решением Комиссии, оформляемым постановлением.</w:t>
      </w:r>
    </w:p>
    <w:p w14:paraId="4C3C496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Члены Комиссии с правом решающего голоса, организующие работу по соответствующим направлениям деятельности Комиссии, осуществляют взаимодействие с органами государственной власти, учреждениями и организациями, избирательными комиссиями и другими участниками избирательного и референдумного процесса.</w:t>
      </w:r>
    </w:p>
    <w:p w14:paraId="4130EF6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Члены Комиссии с правом решающего голоса, организующие работу по соответствующим направлениям деятельности Комиссии, несут ответственность за результаты этой работы.</w:t>
      </w:r>
    </w:p>
    <w:p w14:paraId="03FA6D95">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18</w:t>
      </w:r>
    </w:p>
    <w:p w14:paraId="7E1FB17E">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Члены Комиссии с правом решающего голоса вправе:</w:t>
      </w:r>
    </w:p>
    <w:p w14:paraId="3AE600FF">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принимать участие в подготовке заседаний Комиссии и ее работе;</w:t>
      </w:r>
    </w:p>
    <w:p w14:paraId="6B8F097A">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выступать на заседании Комиссии, вносить предложения по вопросам, отнесенным к компетенции Комиссии и требовать проведения голосования по</w:t>
      </w:r>
    </w:p>
    <w:p w14:paraId="791A751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внесенным предложениям;</w:t>
      </w:r>
    </w:p>
    <w:p w14:paraId="1175A913">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задавать другим участникам заседания Комиссии вопросы в соответствии с повесткой дня и получать на них ответы по существу;</w:t>
      </w:r>
    </w:p>
    <w:p w14:paraId="0843141F">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знакомиться с документами и материалами Комиссии и нижестоящих комиссий, непосредственно связанными с выборами, референдумом, включая документы и материалы, находящиеся на машиночитаемых носителях, получать копии этих материалов (за исключением списков избирателей, участников референдума, избирательных бюллетеней, бюллетеней для голосования на референдуме, подписных листов, иных документов и материалов, содержащих конфиденциальную информацию, отнесенную к таковой в порядке, установленном федеральным законом), требовать заверения указанных копий;</w:t>
      </w:r>
    </w:p>
    <w:p w14:paraId="5939938C">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вправе удостовериться в правильности подсчета по спискам избирателей, участников референдума числа лиц, принявших участие в голосовании, в правильности сортировки бюллетеней по кандидатам, избирательным объединениям, вариантам ответа на вопрос референдума;</w:t>
      </w:r>
    </w:p>
    <w:p w14:paraId="63FC0039">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обжаловать действия Комиссии в избирательную комиссию Липецкой области, ЦИК России или в суд;</w:t>
      </w:r>
    </w:p>
    <w:p w14:paraId="6EECCEF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члены Комиссии с правом решающего голоса, несогласные с решением, принятым Комиссией, вправе в письменной форме высказать особое мнение, которое должно быть рассмотрено этой комиссией, отражено в ее протоколе, приложено к нему и доведено председателем Комиссии до сведения избирательной комиссии Липецкой области не позднее чем в трехдневный срок со дня принятия решения, а в день голосования и в день, следующий за днем голосования, - незамедлительно.</w:t>
      </w:r>
    </w:p>
    <w:p w14:paraId="62528628">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19</w:t>
      </w:r>
    </w:p>
    <w:p w14:paraId="09AEE29F">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Член Комиссии с правом решающего голоса обязан:</w:t>
      </w:r>
    </w:p>
    <w:p w14:paraId="7BCB7742">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присутствовать на всех заседаниях Комиссии;</w:t>
      </w:r>
    </w:p>
    <w:p w14:paraId="6325A97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обеспечивать выполнение принятых решений;</w:t>
      </w:r>
    </w:p>
    <w:p w14:paraId="606A4AD0">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выполнять поручения Комиссии и ее председателя, заместителя председателя и секретаря;</w:t>
      </w:r>
    </w:p>
    <w:p w14:paraId="3E7D6332">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незамедлительно информировать Комиссию о наступлении обстоятельств, несовместимых со статусом члена Комиссии с правом решающего голоса, изменением места работы (службы), занимаемой должности, адреса места жительства, номеров телефонов;</w:t>
      </w:r>
    </w:p>
    <w:p w14:paraId="1041AEE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заблаговременно информировать секретаря Комиссии о невозможности присутствовать на заседании Комиссии.</w:t>
      </w:r>
    </w:p>
    <w:p w14:paraId="39AFB12D">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20</w:t>
      </w:r>
    </w:p>
    <w:p w14:paraId="25BCACB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Срок полномочий члена Комиссии с правом решающего голоса истекает одновременно с прекращением полномочий Комиссии.</w:t>
      </w:r>
    </w:p>
    <w:p w14:paraId="3197649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Член Комиссии с правом решающего голоса освобождается от обязанностей члена Комиссии до истечения срока своих полномочий по решению органа, его назначившего, в случае:</w:t>
      </w:r>
    </w:p>
    <w:p w14:paraId="0EB6E72C">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подачи членом Комиссии заявления в письменной форме о сложении своих полномочий;</w:t>
      </w:r>
    </w:p>
    <w:p w14:paraId="06BC726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sz w:val="28"/>
          <w:szCs w:val="28"/>
        </w:rPr>
        <w:t xml:space="preserve">- появления оснований, предусмотренных пунктами 1 и 4 статьи 29 ФЗ № 67, </w:t>
      </w:r>
      <w:r>
        <w:rPr>
          <w:rFonts w:ascii="Times New Roman" w:hAnsi="Times New Roman" w:cs="Times New Roman"/>
          <w:sz w:val="28"/>
          <w:szCs w:val="28"/>
        </w:rPr>
        <w:t xml:space="preserve">за исключением случая приостановления полномочий члена Комиссии, предусмотренного </w:t>
      </w:r>
      <w:r>
        <w:fldChar w:fldCharType="begin"/>
      </w:r>
      <w:r>
        <w:instrText xml:space="preserve"> HYPERLINK "consultantplus://offline/ref=BDA2AAC2B4A47192C41B46EA6B6E3221959D8D175427F18C13556EF4A9A800E4CF893588A37438E8P6eCH" </w:instrText>
      </w:r>
      <w:r>
        <w:fldChar w:fldCharType="separate"/>
      </w:r>
      <w:r>
        <w:rPr>
          <w:rFonts w:ascii="Times New Roman" w:hAnsi="Times New Roman" w:cs="Times New Roman"/>
          <w:color w:val="000000" w:themeColor="text1"/>
          <w:sz w:val="28"/>
          <w:szCs w:val="28"/>
        </w:rPr>
        <w:t>пунктом 7</w:t>
      </w:r>
      <w:r>
        <w:rPr>
          <w:rFonts w:ascii="Times New Roman" w:hAnsi="Times New Roman" w:cs="Times New Roman"/>
          <w:color w:val="000000" w:themeColor="text1"/>
          <w:sz w:val="28"/>
          <w:szCs w:val="28"/>
        </w:rPr>
        <w:fldChar w:fldCharType="end"/>
      </w:r>
      <w:r>
        <w:rPr>
          <w:rFonts w:ascii="Times New Roman" w:hAnsi="Times New Roman" w:cs="Times New Roman"/>
          <w:color w:val="000000" w:themeColor="text1"/>
          <w:sz w:val="28"/>
          <w:szCs w:val="28"/>
        </w:rPr>
        <w:t xml:space="preserve">, и случаев, предусмотренных </w:t>
      </w:r>
      <w:r>
        <w:fldChar w:fldCharType="begin"/>
      </w:r>
      <w:r>
        <w:instrText xml:space="preserve"> HYPERLINK "consultantplus://offline/ref=BDA2AAC2B4A47192C41B46EA6B6E3221959D8D175427F18C13556EF4A9A800E4CF893588A37438EEP6eCH" </w:instrText>
      </w:r>
      <w:r>
        <w:fldChar w:fldCharType="separate"/>
      </w:r>
      <w:r>
        <w:rPr>
          <w:rFonts w:ascii="Times New Roman" w:hAnsi="Times New Roman" w:cs="Times New Roman"/>
          <w:color w:val="000000" w:themeColor="text1"/>
          <w:sz w:val="28"/>
          <w:szCs w:val="28"/>
        </w:rPr>
        <w:t>подпунктами "а"</w:t>
      </w:r>
      <w:r>
        <w:rPr>
          <w:rFonts w:ascii="Times New Roman" w:hAnsi="Times New Roman" w:cs="Times New Roman"/>
          <w:color w:val="000000" w:themeColor="text1"/>
          <w:sz w:val="28"/>
          <w:szCs w:val="28"/>
        </w:rPr>
        <w:fldChar w:fldCharType="end"/>
      </w:r>
      <w:r>
        <w:rPr>
          <w:rFonts w:ascii="Times New Roman" w:hAnsi="Times New Roman" w:cs="Times New Roman"/>
          <w:color w:val="000000" w:themeColor="text1"/>
          <w:sz w:val="28"/>
          <w:szCs w:val="28"/>
        </w:rPr>
        <w:t xml:space="preserve">, </w:t>
      </w:r>
      <w:r>
        <w:fldChar w:fldCharType="begin"/>
      </w:r>
      <w:r>
        <w:instrText xml:space="preserve"> HYPERLINK "consultantplus://offline/ref=BDA2AAC2B4A47192C41B46EA6B6E3221959D8D175427F18C13556EF4A9A800E4CF893588A37438EEP6eFH" </w:instrText>
      </w:r>
      <w:r>
        <w:fldChar w:fldCharType="separate"/>
      </w:r>
      <w:r>
        <w:rPr>
          <w:rFonts w:ascii="Times New Roman" w:hAnsi="Times New Roman" w:cs="Times New Roman"/>
          <w:color w:val="000000" w:themeColor="text1"/>
          <w:sz w:val="28"/>
          <w:szCs w:val="28"/>
        </w:rPr>
        <w:t>"б"</w:t>
      </w:r>
      <w:r>
        <w:rPr>
          <w:rFonts w:ascii="Times New Roman" w:hAnsi="Times New Roman" w:cs="Times New Roman"/>
          <w:color w:val="000000" w:themeColor="text1"/>
          <w:sz w:val="28"/>
          <w:szCs w:val="28"/>
        </w:rPr>
        <w:fldChar w:fldCharType="end"/>
      </w:r>
      <w:r>
        <w:rPr>
          <w:rFonts w:ascii="Times New Roman" w:hAnsi="Times New Roman" w:cs="Times New Roman"/>
          <w:color w:val="000000" w:themeColor="text1"/>
          <w:sz w:val="28"/>
          <w:szCs w:val="28"/>
        </w:rPr>
        <w:t xml:space="preserve">, </w:t>
      </w:r>
      <w:r>
        <w:fldChar w:fldCharType="begin"/>
      </w:r>
      <w:r>
        <w:instrText xml:space="preserve"> HYPERLINK "consultantplus://offline/ref=BDA2AAC2B4A47192C41B46EA6B6E3221959D8D175427F18C13556EF4A9A800E4CF893588A37438EFP6eEH" </w:instrText>
      </w:r>
      <w:r>
        <w:fldChar w:fldCharType="separate"/>
      </w:r>
      <w:r>
        <w:rPr>
          <w:rFonts w:ascii="Times New Roman" w:hAnsi="Times New Roman" w:cs="Times New Roman"/>
          <w:color w:val="000000" w:themeColor="text1"/>
          <w:sz w:val="28"/>
          <w:szCs w:val="28"/>
        </w:rPr>
        <w:t>"н" и "о" пункта 1</w:t>
      </w:r>
      <w:r>
        <w:rPr>
          <w:rFonts w:ascii="Times New Roman" w:hAnsi="Times New Roman" w:cs="Times New Roman"/>
          <w:color w:val="000000" w:themeColor="text1"/>
          <w:sz w:val="28"/>
          <w:szCs w:val="28"/>
        </w:rPr>
        <w:fldChar w:fldCharType="end"/>
      </w:r>
      <w:r>
        <w:rPr>
          <w:rFonts w:ascii="Times New Roman" w:hAnsi="Times New Roman" w:cs="Times New Roman"/>
          <w:color w:val="000000" w:themeColor="text1"/>
          <w:sz w:val="28"/>
          <w:szCs w:val="28"/>
        </w:rPr>
        <w:t xml:space="preserve"> статьи 29.</w:t>
      </w:r>
    </w:p>
    <w:p w14:paraId="3BC9A41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Полномочия члена Комиссии с правом решающего голоса прекращаются немедленно в случае:</w:t>
      </w:r>
    </w:p>
    <w:p w14:paraId="3355F76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прекращения гражданства Российской Федерации члена комиссии или приобретения им гражданства (подданства)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w:t>
      </w:r>
    </w:p>
    <w:p w14:paraId="0D1F722E">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вступления в законную силу в отношении члена комиссии обвинительного приговора суда либо решения (постановления) суда о назначении административного наказания за нарушение законодательства о выборах и референдумах или за совершение административных правонарушений, предусмотренных статьями 20.3 и 20.29 </w:t>
      </w:r>
      <w:r>
        <w:fldChar w:fldCharType="begin"/>
      </w:r>
      <w:r>
        <w:instrText xml:space="preserve"> HYPERLINK "http://pravo.gov.ru/proxy/ips/?docbody=&amp;prevDoc=102076507&amp;backlink=1&amp;&amp;nd=102074277" \t "http://pravo.gov.ru/proxy/ips/contents" </w:instrText>
      </w:r>
      <w:r>
        <w:fldChar w:fldCharType="separate"/>
      </w:r>
      <w:r>
        <w:rPr>
          <w:rFonts w:ascii="Times New Roman" w:hAnsi="Times New Roman" w:cs="Times New Roman"/>
          <w:color w:val="000000"/>
          <w:sz w:val="28"/>
          <w:szCs w:val="28"/>
        </w:rPr>
        <w:t>Кодекса Российской Федерации об административных правонарушениях</w:t>
      </w:r>
      <w:r>
        <w:rPr>
          <w:rFonts w:ascii="Times New Roman" w:hAnsi="Times New Roman" w:cs="Times New Roman"/>
          <w:color w:val="000000"/>
          <w:sz w:val="28"/>
          <w:szCs w:val="28"/>
        </w:rPr>
        <w:fldChar w:fldCharType="end"/>
      </w:r>
      <w:r>
        <w:rPr>
          <w:rFonts w:ascii="Times New Roman" w:hAnsi="Times New Roman" w:cs="Times New Roman"/>
          <w:color w:val="000000"/>
          <w:sz w:val="28"/>
          <w:szCs w:val="28"/>
        </w:rPr>
        <w:t>; </w:t>
      </w:r>
    </w:p>
    <w:p w14:paraId="52B69520">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признания члена комиссии решением суда, вступившим в законную силу, недееспособным, ограниченно дееспособным, безвестно отсутствующим или умершим;</w:t>
      </w:r>
    </w:p>
    <w:p w14:paraId="4FE410A4">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смерти члена комиссии;</w:t>
      </w:r>
    </w:p>
    <w:p w14:paraId="6802465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признания члена комиссии решением суда, вступившим в законную силу, на основании заявления соответствующей комиссии систематически не выполняющим свои обязанности;</w:t>
      </w:r>
    </w:p>
    <w:p w14:paraId="423B293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вступления в законную силу решения суда о расформировании комиссии в соответствии со статьей 31 ФЗ№ 67;</w:t>
      </w:r>
    </w:p>
    <w:p w14:paraId="6AACDB6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включения члена комиссии в реестр иностранных агентов либо включения сведений о нем в единый реестр сведений о лицах, причастных к деятельности экстремистской или террористической организации.</w:t>
      </w:r>
    </w:p>
    <w:p w14:paraId="586C3A5B">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2AA99145">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4. Порядок проведения заседаний Комиссии</w:t>
      </w:r>
    </w:p>
    <w:p w14:paraId="6C1E9FBC">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21</w:t>
      </w:r>
    </w:p>
    <w:p w14:paraId="5254E4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Комиссия собирается на свое первое заседание не позднее, чем на пятнадцатый день после принятия избирательной комиссией Липецкой области решения о формировании Комиссии и не ранее дня истечения срока полномочий комиссии прежнего состава. Срок полномочий Комиссии исчисляется со дня ее первого заседания.</w:t>
      </w:r>
    </w:p>
    <w:p w14:paraId="75F12342">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22</w:t>
      </w:r>
    </w:p>
    <w:p w14:paraId="4B9C2D2F">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Заседание Комиссии является правомочным, если на нем присутствуют большинство от установленного числа членов Комиссии с правом решающего голоса.</w:t>
      </w:r>
    </w:p>
    <w:p w14:paraId="2E5FA5E8">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23</w:t>
      </w:r>
    </w:p>
    <w:p w14:paraId="7F4B84D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день первого заседания Комиссии нового состава, полномочия Комиссии прежнего состава прекращаются.</w:t>
      </w:r>
    </w:p>
    <w:p w14:paraId="0C38B2B9">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24</w:t>
      </w:r>
    </w:p>
    <w:p w14:paraId="3F4A7DA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Первое заседание Комиссии открывает и ведет назначенный избирательной комиссией Липецкой области председатель Комиссии.</w:t>
      </w:r>
    </w:p>
    <w:p w14:paraId="407012A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первом заседании Комиссии:</w:t>
      </w:r>
    </w:p>
    <w:p w14:paraId="7E8D475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председатель Комиссии представляет членов комиссии с правом решающего голоса, назначенных в соответствии с ФЗ № 67;</w:t>
      </w:r>
    </w:p>
    <w:p w14:paraId="0AA1999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проводятся выборы заместителя председателя и секретаря Комиссии в порядке, установленном настоящим Регламентом;</w:t>
      </w:r>
    </w:p>
    <w:p w14:paraId="302BC0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распределяются обязанности между членами Комиссии.</w:t>
      </w:r>
    </w:p>
    <w:p w14:paraId="01A53537">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25</w:t>
      </w:r>
    </w:p>
    <w:p w14:paraId="64F91DBD">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Исключительно на заседаниях Комиссии решаются вопросы:</w:t>
      </w:r>
    </w:p>
    <w:p w14:paraId="6F4F4ED1">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избрания на должности либо освобождения от должности заместителя председателя и секретаря Комиссии, внесения предложений по кандидатурам на указанные должности; </w:t>
      </w:r>
    </w:p>
    <w:p w14:paraId="3E428C30">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формирования составов нижестоящих избирательных комиссий, резерва составов нижестоящих избирательных комиссий, назначения на должность либо освобождения от должности председателей нижестоящих избирательных комиссий; </w:t>
      </w:r>
    </w:p>
    <w:p w14:paraId="203C4F13">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регистрации кандидатов, списка кандидатов;</w:t>
      </w:r>
    </w:p>
    <w:p w14:paraId="6F809058">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финансового обеспечения подготовки и проведения выборов, референдумов;</w:t>
      </w:r>
    </w:p>
    <w:p w14:paraId="6F0DAB0B">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определения итогов голосования или результатов выборов, референдумов на соответствующей территории;</w:t>
      </w:r>
    </w:p>
    <w:p w14:paraId="773E1D61">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 признании выборов, референдумов на соответствующей территории несостоявшимися или недействительными;</w:t>
      </w:r>
    </w:p>
    <w:p w14:paraId="2DC4F5E2">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 обращении Комиссии в суд с заявлениями и исками;</w:t>
      </w:r>
    </w:p>
    <w:p w14:paraId="5A15E96E">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 проведении повторного голосования или повторных выборов;  </w:t>
      </w:r>
    </w:p>
    <w:p w14:paraId="1027D230">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отмены решений нижестоящих избирательных комиссий;</w:t>
      </w:r>
    </w:p>
    <w:p w14:paraId="61977FEB">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утверждения планов работы Комиссии;</w:t>
      </w:r>
    </w:p>
    <w:p w14:paraId="288A448B">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распределения обязанностей между членами Комиссии;</w:t>
      </w:r>
    </w:p>
    <w:p w14:paraId="173AB097">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принятия Регламента Комиссии, внесения в него изменений и дополнений;</w:t>
      </w:r>
    </w:p>
    <w:p w14:paraId="2B68D93F">
      <w:pPr>
        <w:tabs>
          <w:tab w:val="left" w:pos="0"/>
        </w:tabs>
        <w:spacing w:after="0" w:line="240" w:lineRule="auto"/>
        <w:ind w:firstLine="709"/>
        <w:jc w:val="both"/>
        <w:rPr>
          <w:rFonts w:ascii="Times New Roman" w:hAnsi="Times New Roman"/>
          <w:sz w:val="28"/>
        </w:rPr>
      </w:pPr>
      <w:r>
        <w:rPr>
          <w:rFonts w:ascii="Times New Roman" w:hAnsi="Times New Roman"/>
          <w:sz w:val="28"/>
        </w:rPr>
        <w:t>- утверждение положения о Контрольно-ревизионной службе при комиссии и ее состава, внесения в них изменений и дополнений;</w:t>
      </w:r>
    </w:p>
    <w:p w14:paraId="3B835A18">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утверждение положения о </w:t>
      </w:r>
      <w:r>
        <w:rPr>
          <w:rFonts w:ascii="Times New Roman" w:hAnsi="Times New Roman" w:cs="Times New Roman"/>
          <w:color w:val="000000"/>
          <w:sz w:val="28"/>
          <w:szCs w:val="28"/>
        </w:rPr>
        <w:t>Рабочей группы по информационным спорам и иным вопросам информационного обеспечения выборов при Комиссии и ее состава</w:t>
      </w:r>
      <w:r>
        <w:rPr>
          <w:rFonts w:ascii="Times New Roman" w:hAnsi="Times New Roman" w:cs="Times New Roman"/>
          <w:sz w:val="28"/>
          <w:szCs w:val="28"/>
        </w:rPr>
        <w:t>;</w:t>
      </w:r>
    </w:p>
    <w:p w14:paraId="5F0235E9">
      <w:pPr>
        <w:pStyle w:val="26"/>
        <w:spacing w:after="0" w:line="240" w:lineRule="auto"/>
        <w:rPr>
          <w:rFonts w:ascii="Times New Roman" w:hAnsi="Times New Roman" w:cs="Times New Roman"/>
          <w:bCs/>
          <w:spacing w:val="7"/>
          <w:sz w:val="28"/>
          <w:szCs w:val="28"/>
        </w:rPr>
      </w:pPr>
      <w:r>
        <w:rPr>
          <w:rFonts w:ascii="Times New Roman" w:hAnsi="Times New Roman" w:cs="Times New Roman"/>
          <w:bCs/>
          <w:sz w:val="28"/>
          <w:szCs w:val="28"/>
        </w:rPr>
        <w:t xml:space="preserve">- утверждение положения о Рабочей группе по обеспечению избирательных прав граждан Российской Федерации, являющихся инвалидами, </w:t>
      </w:r>
      <w:r>
        <w:rPr>
          <w:rFonts w:ascii="Times New Roman" w:hAnsi="Times New Roman" w:cs="Times New Roman"/>
          <w:bCs/>
          <w:spacing w:val="7"/>
          <w:sz w:val="28"/>
          <w:szCs w:val="28"/>
        </w:rPr>
        <w:t>при проведении выборов и референдумов;</w:t>
      </w:r>
    </w:p>
    <w:p w14:paraId="25C739A3">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иные вопросы, предусмотренные федеральными законами и законами Липецкой области.</w:t>
      </w:r>
    </w:p>
    <w:p w14:paraId="177162BA">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26</w:t>
      </w:r>
    </w:p>
    <w:p w14:paraId="328F3B7A">
      <w:pPr>
        <w:pStyle w:val="20"/>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Заседания Комиссии проводятся открыто и гласно. </w:t>
      </w:r>
    </w:p>
    <w:p w14:paraId="47C0D032">
      <w:pPr>
        <w:pStyle w:val="20"/>
        <w:widowControl/>
        <w:ind w:firstLine="709"/>
        <w:jc w:val="both"/>
        <w:rPr>
          <w:rFonts w:ascii="Times New Roman" w:hAnsi="Times New Roman" w:cs="Times New Roman"/>
          <w:sz w:val="28"/>
          <w:szCs w:val="28"/>
        </w:rPr>
      </w:pPr>
      <w:r>
        <w:rPr>
          <w:rFonts w:ascii="Times New Roman" w:hAnsi="Times New Roman" w:cs="Times New Roman"/>
          <w:sz w:val="28"/>
          <w:szCs w:val="28"/>
        </w:rPr>
        <w:t>На всех заседаниях комиссии, а также при осуществлении Комиссией работы со списками избирателей, участников референдума, с бюллетенями, протоколами об итогах голосования, результатов выборов вправе присутствовать члены вышестоящих комиссий и работники их аппаратов, кандидат, зарегистрированный данной либо вышестоящей комиссией, уполномоченный представитель по финансовым вопросам или его доверенное лицо, уполномоченный представитель или доверенное лицо избирательного объединения, список кандидатов которого зарегистрирован данной либо вышестоящей комиссией, или кандидат из указанного списка, член или уполномоченный представитель инициативной группы по проведению референдума.</w:t>
      </w:r>
    </w:p>
    <w:p w14:paraId="3B5F3A4C">
      <w:pPr>
        <w:pStyle w:val="20"/>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Для присутствия на заседаниях Комиссии и при осуществлении ею работы с указанными избирательными документами, документами, связанными с подготовкой и проведением референдума, указанным лицам не требуется дополнительное разрешение. Комиссия обязана обеспечить оповещение и возможность свободного доступа указанных лиц на свои заседания и к работе с указанными избирательными документами, документами, связанными с подготовкой и проведением референдума (с учетом, установленных федеральным законом ограничений на ознакомление с документами и снятие с них копий). </w:t>
      </w:r>
    </w:p>
    <w:p w14:paraId="4893AF6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заседаниях комиссии вправе присутствовать представители политических партий.</w:t>
      </w:r>
    </w:p>
    <w:p w14:paraId="2F424062">
      <w:pPr>
        <w:pStyle w:val="20"/>
        <w:widowControl/>
        <w:ind w:firstLine="709"/>
        <w:jc w:val="both"/>
        <w:rPr>
          <w:rFonts w:ascii="Times New Roman" w:hAnsi="Times New Roman" w:cs="Times New Roman"/>
          <w:sz w:val="28"/>
          <w:szCs w:val="28"/>
        </w:rPr>
      </w:pPr>
      <w:r>
        <w:rPr>
          <w:rFonts w:ascii="Times New Roman" w:hAnsi="Times New Roman" w:cs="Times New Roman"/>
          <w:sz w:val="28"/>
          <w:szCs w:val="28"/>
        </w:rPr>
        <w:t>На всех заседаниях Комиссии и при осуществлении ею работы с указанными документами, а также при подсчете голосов избирателей, участников референдума вправе присутствовать представители средств массовой информации.</w:t>
      </w:r>
    </w:p>
    <w:p w14:paraId="7A7D7D7E">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заседания могут приглашаться члены нижестоящих избирательных комиссий, представители государственных органов, органов местного самоуправления, общественных объединений, эксперты, специалисты, если Комиссия считает это необходимым для рассмотрения вопросов, относящихся к ее компетенции.</w:t>
      </w:r>
    </w:p>
    <w:p w14:paraId="0537E5F2">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27</w:t>
      </w:r>
    </w:p>
    <w:p w14:paraId="6D7888D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Заседания Комиссии созываются ее председателем по мере необходимости, а также по требованию не менее одной трети членов Комиссии с правом решающего голоса от установленного числа членов Комиссии с правом решающего голоса.</w:t>
      </w:r>
    </w:p>
    <w:p w14:paraId="3A6BDDF3">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28</w:t>
      </w:r>
    </w:p>
    <w:p w14:paraId="3BA598A0">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Комиссия по требованию любого ее члена, а также любого присутствующего на заседании члена избирательной комиссии Липецкой области обязана проводить голосование по любым вопросам, входящим в ее компетенцию и рассматриваемым Комиссией на заседании в соответствии с утвержденной повесткой дня.</w:t>
      </w:r>
    </w:p>
    <w:p w14:paraId="6F56495E">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29</w:t>
      </w:r>
    </w:p>
    <w:p w14:paraId="5FE0DBC3">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Члены Комиссии извещаются секретарем Комиссии о заседании Комиссии, как правило, не позднее чем за два дня до дня заседания. В случае невозможности присутствия на заседании член Комиссии обязан уведомить о причинах председателя или секретаря Комиссии.</w:t>
      </w:r>
    </w:p>
    <w:p w14:paraId="678F2173">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30</w:t>
      </w:r>
    </w:p>
    <w:p w14:paraId="394F8269">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Председательствующий на заседании Комиссии (председатель Комиссии):</w:t>
      </w:r>
    </w:p>
    <w:p w14:paraId="3C477BB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ведет заседание Комиссии;</w:t>
      </w:r>
    </w:p>
    <w:p w14:paraId="6DD1F22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организует обсуждение повестки дня заседания Комиссии, ставит ее на голосование;</w:t>
      </w:r>
    </w:p>
    <w:p w14:paraId="1DB1DD7F">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предоставляет слово для выступления членам Комиссии в порядке очередности поступивших заявок, а также приглашенным лицам;</w:t>
      </w:r>
    </w:p>
    <w:p w14:paraId="2D27ED29">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ставит на голосование в порядке поступления все предложения членов Комиссии в порядке очередности поступивших заявок, а также приглашенным лицам;</w:t>
      </w:r>
    </w:p>
    <w:p w14:paraId="74B87AC0">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организует голосование и подсчет голосов, оглашает результаты голосования;</w:t>
      </w:r>
    </w:p>
    <w:p w14:paraId="0449F8C3">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обеспечивает соблюдение положений настоящего Регламента членами Комиссии и приглашенными лицами;</w:t>
      </w:r>
    </w:p>
    <w:p w14:paraId="09458AA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во время выступлений членов Комиссии и приглашенных лиц не вправе комментировать их высказывания, за исключением случаев отклонения темы выступления от утвержденной повестки дня.</w:t>
      </w:r>
    </w:p>
    <w:p w14:paraId="313C1CF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Участвуя в открытом голосовании, председательствующий голосует последним.</w:t>
      </w:r>
    </w:p>
    <w:p w14:paraId="35378503">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31</w:t>
      </w:r>
    </w:p>
    <w:p w14:paraId="608511A4">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На заседании ведется протокол. В протоколе заседания Комиссии указывается: повестка дня, фамилии присутствующих членов Комиссии, результаты голосования.</w:t>
      </w:r>
    </w:p>
    <w:p w14:paraId="4C30642A">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К протоколу прилагаются принятые в ходе заседания Комиссии решения, которые оформляются постановлениями, а также иные документы (материалы). Протокол подписывается председателем и секретарем Комиссии.</w:t>
      </w:r>
    </w:p>
    <w:p w14:paraId="5F1E23B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Протоколам Комиссии присваиваются порядковые номера в пределах срока полномочий Комиссии.</w:t>
      </w:r>
    </w:p>
    <w:p w14:paraId="6203FEFC">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81FA9CF">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5. Порядок голосования и принятия решений на заседаниях Комиссии</w:t>
      </w:r>
    </w:p>
    <w:p w14:paraId="0DB7C987">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32</w:t>
      </w:r>
    </w:p>
    <w:p w14:paraId="2549C13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Все решения Комиссии принимаются открытым или тайным голосованием.</w:t>
      </w:r>
    </w:p>
    <w:p w14:paraId="192DC7E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Открытое голосование осуществляется путем поднятия руки членом Комиссии с правом решающего голоса, тайное голосование путем использования бюллетеней. </w:t>
      </w:r>
    </w:p>
    <w:p w14:paraId="2031F66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Результаты голосования по всем вопросам, оглашенные председательствующим, вносятся в протокол заседания Комиссии.</w:t>
      </w:r>
    </w:p>
    <w:p w14:paraId="67F34866">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33</w:t>
      </w:r>
    </w:p>
    <w:p w14:paraId="4BB5CEBF">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При голосовании член Комиссии с правом решающего голоса имеет один голос и голосует лично. Член комиссии, не согласный с принятым Комиссией решением, вправе в письменной форме высказать особое мнение, которое должно быть рассмотрено Комиссией, отражено в ее протоколе, приложено к нему и доведено председателем Комиссии до сведения избирательной комиссии Липецкой области не позднее чем в 3-х дневный срок со дня принятия решения, а в день голосования и в день, следующий за днем голосования, - незамедлительно.</w:t>
      </w:r>
    </w:p>
    <w:p w14:paraId="6E81434E">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34</w:t>
      </w:r>
    </w:p>
    <w:p w14:paraId="55927381">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Тайное голосование проводится в случаях, предусмотренных федеральными конституционными законами, федеральными законами, законами Липецкой области, либо по решению Комиссии, принимаемому большинством голосов от числа присутствующих членов Комиссии.</w:t>
      </w:r>
    </w:p>
    <w:p w14:paraId="504822D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Для проведения тайного голосования путем использования бюллетеней и определения его результатов избирается счетная комиссия в количестве и составе, определяемых Комиссией, которая избирает из своего состава председателя комиссии и организует проведение тайного голосования. Форма и текст бюллетеня для голосования утверждаются Комиссией по предложению счетной комиссии.</w:t>
      </w:r>
    </w:p>
    <w:p w14:paraId="64227C4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Каждому члену Комиссии с правом решающего голоса выдается один бюллетень для тайного голосования.</w:t>
      </w:r>
    </w:p>
    <w:p w14:paraId="29307C9C">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кабине для тайного голосования или в помещении, отведенном для этих целей, голосующий заполняет бюллетень, после чего опускает его в ящик для голосования, опечатанный счетной комиссией.</w:t>
      </w:r>
    </w:p>
    <w:p w14:paraId="1DEE5D8C">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Если член Комиссии при заполнении бюллетеня совершил ошибку, он вправе получить новый бюллетень взамен испорченного. Испорченный бюллетень погашается, о чем составляется акт.</w:t>
      </w:r>
    </w:p>
    <w:p w14:paraId="615584D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Недействительными считаются бюллетени, по которым невозможно определить волеизъявление члена Комиссии с правом решающего голоса. Дополнения, внесенные в бюллетень, при подсчете голосов не учитываются.</w:t>
      </w:r>
    </w:p>
    <w:p w14:paraId="4781CB8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 результатах тайного голосования счетная комиссия составляет протокол, который подписывается всеми ее членами. По докладу счетной комиссии члены Комиссии с правом решающего голоса открытым голосованием утверждают результаты тайного голосования. Решение Комиссии, принятое тайным голосованием, оформляется постановлением Комиссии.</w:t>
      </w:r>
    </w:p>
    <w:p w14:paraId="6192600A">
      <w:pPr>
        <w:widowControl w:val="0"/>
        <w:tabs>
          <w:tab w:val="left" w:pos="4152"/>
        </w:tabs>
        <w:autoSpaceDE w:val="0"/>
        <w:autoSpaceDN w:val="0"/>
        <w:adjustRightInd w:val="0"/>
        <w:spacing w:after="0" w:line="240" w:lineRule="auto"/>
        <w:ind w:firstLine="540"/>
        <w:jc w:val="both"/>
        <w:rPr>
          <w:rFonts w:ascii="Times New Roman" w:hAnsi="Times New Roman" w:cs="Times New Roman"/>
          <w:b/>
          <w:bCs/>
          <w:color w:val="000000"/>
          <w:sz w:val="28"/>
          <w:szCs w:val="28"/>
        </w:rPr>
      </w:pPr>
      <w:r>
        <w:rPr>
          <w:rFonts w:ascii="Times New Roman" w:hAnsi="Times New Roman" w:cs="Times New Roman"/>
          <w:sz w:val="28"/>
          <w:szCs w:val="28"/>
        </w:rPr>
        <w:tab/>
      </w:r>
      <w:r>
        <w:rPr>
          <w:rFonts w:ascii="Times New Roman" w:hAnsi="Times New Roman" w:cs="Times New Roman"/>
          <w:b/>
          <w:bCs/>
          <w:color w:val="000000"/>
          <w:sz w:val="28"/>
          <w:szCs w:val="28"/>
        </w:rPr>
        <w:t>Статья 35</w:t>
      </w:r>
    </w:p>
    <w:p w14:paraId="4A8EEF39">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Решения Комиссии принимаются членами Комиссии с правом решающего голоса только на заседании Комиссии.</w:t>
      </w:r>
    </w:p>
    <w:p w14:paraId="27B6E47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Решения Комиссии об избрании заместителя председателя, секретаря Комиссии, о внесении предложений по кандидатурам заместителя председателя и секретаря Комиссии, о финансовом обеспечении подготовки и проведении выборов, референдума, о регистрации кандидатов и об обращении в суд с заявлением об отмене их регистрации, об итогах голосования, о признании выборов, референдума несостоявшимися или недействительными, о проведении повторного голосования, повторных выборов принимаются на заседании Комиссии большинством голосов от установленного числа членов Комиссии с правом решающего голоса.</w:t>
      </w:r>
    </w:p>
    <w:p w14:paraId="3DE78608">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Решения Комиссии по иным вопросам принимаются большинством голосов от числа присутствующих членов Комиссии с правом решающего голоса.</w:t>
      </w:r>
    </w:p>
    <w:p w14:paraId="4DFAA7FE">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Принимаемые решения оформляются постановлениями Комиссии.</w:t>
      </w:r>
    </w:p>
    <w:p w14:paraId="1CAA8687">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Постановления Комиссии подписываются председателем и секретарем Комиссии. </w:t>
      </w:r>
    </w:p>
    <w:p w14:paraId="0277D241">
      <w:pPr>
        <w:autoSpaceDE w:val="0"/>
        <w:autoSpaceDN w:val="0"/>
        <w:adjustRightInd w:val="0"/>
        <w:spacing w:after="0" w:line="240" w:lineRule="auto"/>
        <w:ind w:firstLine="709"/>
        <w:jc w:val="both"/>
        <w:rPr>
          <w:rFonts w:ascii="Times New Roman" w:hAnsi="Times New Roman" w:cs="Times New Roman"/>
          <w:b/>
          <w:color w:val="000000"/>
          <w:sz w:val="28"/>
          <w:szCs w:val="28"/>
        </w:rPr>
      </w:pPr>
      <w:r>
        <w:rPr>
          <w:rFonts w:ascii="Times New Roman" w:hAnsi="Times New Roman" w:cs="Times New Roman"/>
          <w:color w:val="000000"/>
          <w:sz w:val="28"/>
          <w:szCs w:val="28"/>
        </w:rPr>
        <w:t>Номер постановления Комиссии состоит из номера протокола заседания и порядкового номера постановления, разделенных косой чертой</w:t>
      </w:r>
      <w:r>
        <w:rPr>
          <w:rFonts w:ascii="Times New Roman" w:hAnsi="Times New Roman" w:cs="Times New Roman"/>
          <w:b/>
          <w:color w:val="000000"/>
          <w:sz w:val="28"/>
          <w:szCs w:val="28"/>
        </w:rPr>
        <w:t>.</w:t>
      </w:r>
    </w:p>
    <w:p w14:paraId="5FFF909E">
      <w:pPr>
        <w:autoSpaceDE w:val="0"/>
        <w:autoSpaceDN w:val="0"/>
        <w:adjustRightInd w:val="0"/>
        <w:spacing w:after="0" w:line="240" w:lineRule="auto"/>
        <w:ind w:firstLine="709"/>
        <w:jc w:val="both"/>
        <w:rPr>
          <w:rFonts w:ascii="Times New Roman" w:hAnsi="Times New Roman" w:cs="Times New Roman"/>
          <w:b/>
          <w:color w:val="000000"/>
          <w:sz w:val="28"/>
          <w:szCs w:val="28"/>
        </w:rPr>
      </w:pPr>
    </w:p>
    <w:p w14:paraId="5E194E39">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36</w:t>
      </w:r>
    </w:p>
    <w:p w14:paraId="6F867B83">
      <w:pPr>
        <w:widowControl w:val="0"/>
        <w:autoSpaceDE w:val="0"/>
        <w:autoSpaceDN w:val="0"/>
        <w:adjustRightInd w:val="0"/>
        <w:spacing w:after="0" w:line="240" w:lineRule="auto"/>
        <w:ind w:firstLine="539"/>
        <w:jc w:val="both"/>
        <w:outlineLvl w:val="2"/>
        <w:rPr>
          <w:rFonts w:ascii="Times New Roman" w:hAnsi="Times New Roman" w:cs="Times New Roman"/>
          <w:sz w:val="28"/>
          <w:szCs w:val="28"/>
        </w:rPr>
      </w:pPr>
      <w:r>
        <w:rPr>
          <w:rFonts w:ascii="Times New Roman" w:hAnsi="Times New Roman" w:cs="Times New Roman"/>
          <w:sz w:val="28"/>
          <w:szCs w:val="28"/>
        </w:rPr>
        <w:t>Всеми членами Комиссии с правом решающего голоса, присутствовавшими на соответствующих заседаниях Комиссии, подписываются протоколы Комиссии об итогах голосования:</w:t>
      </w:r>
    </w:p>
    <w:p w14:paraId="08C91D3D">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на выборах Президента Российской Федерации;</w:t>
      </w:r>
    </w:p>
    <w:p w14:paraId="4FD7DD80">
      <w:pPr>
        <w:widowControl w:val="0"/>
        <w:autoSpaceDE w:val="0"/>
        <w:autoSpaceDN w:val="0"/>
        <w:adjustRightInd w:val="0"/>
        <w:spacing w:after="0" w:line="240" w:lineRule="auto"/>
        <w:ind w:firstLine="539"/>
        <w:jc w:val="both"/>
        <w:outlineLvl w:val="2"/>
        <w:rPr>
          <w:rFonts w:ascii="Times New Roman" w:hAnsi="Times New Roman" w:cs="Times New Roman"/>
          <w:sz w:val="28"/>
          <w:szCs w:val="28"/>
        </w:rPr>
      </w:pPr>
      <w:r>
        <w:rPr>
          <w:rFonts w:ascii="Times New Roman" w:hAnsi="Times New Roman" w:cs="Times New Roman"/>
          <w:sz w:val="28"/>
          <w:szCs w:val="28"/>
        </w:rPr>
        <w:t>на выборах депутатов Государственной Думы Федерального Собрания Российской Федерации;</w:t>
      </w:r>
    </w:p>
    <w:p w14:paraId="7A9055DB">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на референдуме Российской Федерации;</w:t>
      </w:r>
    </w:p>
    <w:p w14:paraId="793B8CC4">
      <w:pPr>
        <w:spacing w:after="0" w:line="240" w:lineRule="auto"/>
        <w:ind w:firstLine="560" w:firstLineChars="200"/>
        <w:rPr>
          <w:rFonts w:ascii="Times New Roman" w:hAnsi="Times New Roman" w:cs="Times New Roman"/>
          <w:sz w:val="28"/>
          <w:szCs w:val="28"/>
        </w:rPr>
      </w:pPr>
      <w:r>
        <w:rPr>
          <w:rFonts w:ascii="Times New Roman" w:hAnsi="Times New Roman" w:cs="Times New Roman"/>
          <w:sz w:val="28"/>
          <w:szCs w:val="28"/>
        </w:rPr>
        <w:t>на выборах Губернатора Липецкой области;</w:t>
      </w:r>
    </w:p>
    <w:p w14:paraId="6D7B4295">
      <w:pPr>
        <w:spacing w:after="0" w:line="240" w:lineRule="auto"/>
        <w:ind w:firstLine="560" w:firstLineChars="200"/>
        <w:rPr>
          <w:rFonts w:ascii="Times New Roman" w:hAnsi="Times New Roman" w:cs="Times New Roman"/>
          <w:sz w:val="28"/>
          <w:szCs w:val="28"/>
        </w:rPr>
      </w:pPr>
      <w:r>
        <w:rPr>
          <w:rFonts w:ascii="Times New Roman" w:hAnsi="Times New Roman" w:cs="Times New Roman"/>
          <w:sz w:val="28"/>
          <w:szCs w:val="28"/>
        </w:rPr>
        <w:t>на выборах депутатов Липецкого областного Совета депутатов;</w:t>
      </w:r>
    </w:p>
    <w:p w14:paraId="0FF33648">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на выборах </w:t>
      </w:r>
      <w:r>
        <w:rPr>
          <w:rFonts w:ascii="Times New Roman" w:hAnsi="Times New Roman" w:cs="Times New Roman"/>
          <w:color w:val="000000"/>
          <w:sz w:val="28"/>
          <w:szCs w:val="28"/>
        </w:rPr>
        <w:t>депутатов Совета депутатов Тербунского муниципального округа</w:t>
      </w:r>
      <w:r>
        <w:rPr>
          <w:rFonts w:ascii="Times New Roman" w:hAnsi="Times New Roman" w:cs="Times New Roman"/>
          <w:sz w:val="28"/>
          <w:szCs w:val="28"/>
        </w:rPr>
        <w:t>.</w:t>
      </w:r>
    </w:p>
    <w:p w14:paraId="2F6B3E2F">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37</w:t>
      </w:r>
    </w:p>
    <w:p w14:paraId="0592A020">
      <w:pPr>
        <w:widowControl w:val="0"/>
        <w:autoSpaceDE w:val="0"/>
        <w:autoSpaceDN w:val="0"/>
        <w:adjustRightInd w:val="0"/>
        <w:spacing w:after="0" w:line="240" w:lineRule="auto"/>
        <w:ind w:firstLine="539"/>
        <w:jc w:val="both"/>
        <w:outlineLvl w:val="2"/>
        <w:rPr>
          <w:rFonts w:ascii="Times New Roman" w:hAnsi="Times New Roman" w:cs="Times New Roman"/>
          <w:sz w:val="28"/>
          <w:szCs w:val="28"/>
        </w:rPr>
      </w:pPr>
      <w:r>
        <w:rPr>
          <w:rFonts w:ascii="Times New Roman" w:hAnsi="Times New Roman" w:cs="Times New Roman"/>
          <w:sz w:val="28"/>
          <w:szCs w:val="28"/>
        </w:rPr>
        <w:t>При рассмотрении проекта постановления Комиссия заслушивает основного докладчика, содоклады и проводит обсуждение проекта.</w:t>
      </w:r>
    </w:p>
    <w:p w14:paraId="737D89DC">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Проект постановления, принятый Комиссией за основу, обсуждается и голосуется в дальнейшем в целом либо по пунктам или частям.</w:t>
      </w:r>
    </w:p>
    <w:p w14:paraId="2A19FBCC">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На голосование ставятся поправки, внесенные только членами Комиссии. После обсуждения и голосования поправок проект постановления принимается в целом.</w:t>
      </w:r>
    </w:p>
    <w:p w14:paraId="78A04760">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38</w:t>
      </w:r>
    </w:p>
    <w:p w14:paraId="59E8875C">
      <w:pPr>
        <w:widowControl w:val="0"/>
        <w:autoSpaceDE w:val="0"/>
        <w:autoSpaceDN w:val="0"/>
        <w:adjustRightInd w:val="0"/>
        <w:spacing w:after="0" w:line="240" w:lineRule="auto"/>
        <w:ind w:firstLine="540"/>
        <w:outlineLvl w:val="2"/>
        <w:rPr>
          <w:rFonts w:ascii="Times New Roman" w:hAnsi="Times New Roman" w:cs="Times New Roman"/>
          <w:sz w:val="28"/>
          <w:szCs w:val="28"/>
        </w:rPr>
      </w:pPr>
      <w:r>
        <w:rPr>
          <w:rFonts w:ascii="Times New Roman" w:hAnsi="Times New Roman" w:cs="Times New Roman"/>
          <w:sz w:val="28"/>
          <w:szCs w:val="28"/>
        </w:rPr>
        <w:t>При рассмотрении проекта постановления Комиссия вправе:</w:t>
      </w:r>
    </w:p>
    <w:p w14:paraId="4844FD09">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принять постановление, в том числе с поправками, внесенными в ходе его обсуждения;</w:t>
      </w:r>
    </w:p>
    <w:p w14:paraId="533E122F">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принять постановление за основу с последующей его доработкой и повторным рассмотрением;</w:t>
      </w:r>
    </w:p>
    <w:p w14:paraId="02961018">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отложить обсуждение проекта постановления;</w:t>
      </w:r>
    </w:p>
    <w:p w14:paraId="33CBE171">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отклонить проект постановления.</w:t>
      </w:r>
    </w:p>
    <w:p w14:paraId="71D01978">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39</w:t>
      </w:r>
    </w:p>
    <w:p w14:paraId="623DB8AE">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Решения Комиссии, непосредственно связанные с подготовкой и проведением выборов, референдума публикуются в средствах массовой информации, доводятся до всеобщего сведения избирателей, участников референдума иным способом в сроки, установленные федеральными конституционными законами, федеральными законами, законами Липецкой области.</w:t>
      </w:r>
    </w:p>
    <w:p w14:paraId="2A072924">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2CA273B">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6. Осуществление Комиссией контроля соблюдения избирательных прав,права на участие в референдуме граждан Российской Федерации</w:t>
      </w:r>
    </w:p>
    <w:p w14:paraId="49146EBD">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40</w:t>
      </w:r>
    </w:p>
    <w:p w14:paraId="0291D58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 соответствии с федеральными конституционными законами, федеральными законами, законами Липецкой области Комиссия рассматривает жалобы на решения и действия (бездействие) нижестоящих избирательных комиссий и их должностных лиц, а также обращения о нарушении Федерального закона, федеральных конституционных законов, иных федеральных законов, законов Липецкой области.</w:t>
      </w:r>
    </w:p>
    <w:p w14:paraId="76EF8230">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При этом Комиссия обязана, не направляя жалобу в участковую комиссию, за исключением случая, когда обстоятельства, изложенные в жалобе, не были предметом рассмотрения Комиссии, рассмотреть жалобу и вынести одно из следующих решений:</w:t>
      </w:r>
    </w:p>
    <w:p w14:paraId="2158EF94">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оставить жалобу без удовлетворения;</w:t>
      </w:r>
    </w:p>
    <w:p w14:paraId="7ABB807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отменить обжалуемое решение полностью или в части (признать незаконным действия (бездействие) и принять решение по существу;</w:t>
      </w:r>
    </w:p>
    <w:p w14:paraId="7F43EB2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отменить обжалуемое решение полностью или в части (признать незаконным действия (бездействие), обязав участковую комиссию повторно рассмотреть вопрос и принять решение по существу (совершить определенное действие).</w:t>
      </w:r>
    </w:p>
    <w:p w14:paraId="69A6AC55">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Для предварительного рассмотрения заявлений (жалоб) и подготовки предложений с последующим рассмотрением на заседании Комиссии может быть образована Рабочая группа в составе членов Комиссии с правом решающего голоса.</w:t>
      </w:r>
    </w:p>
    <w:p w14:paraId="4CE77D1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Если факты, содержащиеся в жалобах и обращениях, требуют дополнительной проверки, решения по ним принимаются не позднее чем в десятидневный срок. Комиссия вправе обращаться в соответствующие правоохранительные органы с представлением о проведении проверки фактов, содержащихся в жалобах и обращениях.</w:t>
      </w:r>
    </w:p>
    <w:p w14:paraId="35432E4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Решения по жалобам, поступившим в период избирательной кампании, кампании референдума, принимаются в 5-дневный срок, но не позднее дня, предшествующему дню голосования, а в день голосования или в день следующий за днем голосования, - немедленно. Если факты, содержащиеся в жалобах, требуют дополнительной проверки, решения по ним принимаются не позднее чем в десятидневный срок.</w:t>
      </w:r>
    </w:p>
    <w:p w14:paraId="0BDACA79">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Решение Комиссии по существу жалобы принимается большинством голосов от числа присутствующих членов Комиссии.</w:t>
      </w:r>
    </w:p>
    <w:p w14:paraId="090AD25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 случае принятия жалобы к рассмотрению судом и обращения того же заявителя с аналогичной жалобой в Комиссию, последняя приостанавливает рассмотрение жалобы до вступления решения суда в законную силу. В случае вынесения судом решения по существу жалобы Комиссия прекращает ее рассмотрение.</w:t>
      </w:r>
    </w:p>
    <w:p w14:paraId="6E00BC36">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7. Заключительные положения</w:t>
      </w:r>
    </w:p>
    <w:p w14:paraId="59B88DF5">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41</w:t>
      </w:r>
    </w:p>
    <w:p w14:paraId="439C914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Регламент Комиссии, изменения и дополнения к нему принимаются большинством голосов от числа присутствующих членов Комиссии с правом решающего голоса.</w:t>
      </w:r>
    </w:p>
    <w:p w14:paraId="0CFD4C12">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281DDED5">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42</w:t>
      </w:r>
    </w:p>
    <w:p w14:paraId="30D4B65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Регламент Комиссии, вносимые в него изменения и дополнения вступают в силу с момента их принятия.</w:t>
      </w:r>
    </w:p>
    <w:sectPr>
      <w:pgSz w:w="11906" w:h="16838"/>
      <w:pgMar w:top="1134" w:right="849" w:bottom="1134" w:left="1701" w:header="709" w:footer="709"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Arial">
    <w:panose1 w:val="020B0604020202020204"/>
    <w:charset w:val="CC"/>
    <w:family w:val="swiss"/>
    <w:pitch w:val="default"/>
    <w:sig w:usb0="E0002EFF" w:usb1="C000785B" w:usb2="00000009" w:usb3="00000000" w:csb0="400001FF" w:csb1="FFFF0000"/>
  </w:font>
  <w:font w:name="Tahoma">
    <w:panose1 w:val="020B0604030504040204"/>
    <w:charset w:val="CC"/>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62114"/>
    </w:sdtPr>
    <w:sdtContent>
      <w:p w14:paraId="7CBA45FB">
        <w:pPr>
          <w:pStyle w:val="10"/>
        </w:pPr>
        <w:r>
          <w:fldChar w:fldCharType="begin"/>
        </w:r>
        <w:r>
          <w:instrText xml:space="preserve"> PAGE   \* MERGEFORMAT </w:instrText>
        </w:r>
        <w:r>
          <w:fldChar w:fldCharType="separate"/>
        </w:r>
        <w:r>
          <w:t>3</w:t>
        </w:r>
        <w:r>
          <w:fldChar w:fldCharType="end"/>
        </w:r>
      </w:p>
    </w:sdtContent>
  </w:sdt>
  <w:p w14:paraId="385BC465">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drawingGridHorizontalSpacing w:val="110"/>
  <w:noPunctuationKerning w:val="1"/>
  <w:characterSpacingControl w:val="doNotCompress"/>
  <w:footnotePr>
    <w:footnote w:id="0"/>
    <w:footnote w:id="1"/>
  </w:footnotePr>
  <w:endnotePr>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26B"/>
    <w:rsid w:val="0002377D"/>
    <w:rsid w:val="0003480C"/>
    <w:rsid w:val="000506C0"/>
    <w:rsid w:val="0005083F"/>
    <w:rsid w:val="00084681"/>
    <w:rsid w:val="000B7FB9"/>
    <w:rsid w:val="000C0E9C"/>
    <w:rsid w:val="000E1DFC"/>
    <w:rsid w:val="000E5568"/>
    <w:rsid w:val="000F05B3"/>
    <w:rsid w:val="000F3677"/>
    <w:rsid w:val="000F5178"/>
    <w:rsid w:val="00124757"/>
    <w:rsid w:val="001318C0"/>
    <w:rsid w:val="00132CA5"/>
    <w:rsid w:val="0015688D"/>
    <w:rsid w:val="001806AE"/>
    <w:rsid w:val="0018565E"/>
    <w:rsid w:val="00196A8F"/>
    <w:rsid w:val="001B4DFE"/>
    <w:rsid w:val="001C3C8D"/>
    <w:rsid w:val="001D0137"/>
    <w:rsid w:val="001D60E7"/>
    <w:rsid w:val="001E6C0A"/>
    <w:rsid w:val="0020526D"/>
    <w:rsid w:val="002054E9"/>
    <w:rsid w:val="00217977"/>
    <w:rsid w:val="00223FE3"/>
    <w:rsid w:val="0023594D"/>
    <w:rsid w:val="00244B92"/>
    <w:rsid w:val="00244F5C"/>
    <w:rsid w:val="002459B0"/>
    <w:rsid w:val="00265621"/>
    <w:rsid w:val="00270B8C"/>
    <w:rsid w:val="00275272"/>
    <w:rsid w:val="00281599"/>
    <w:rsid w:val="00282DCD"/>
    <w:rsid w:val="002C27DF"/>
    <w:rsid w:val="002E5B2B"/>
    <w:rsid w:val="00302B63"/>
    <w:rsid w:val="0031430A"/>
    <w:rsid w:val="00323C30"/>
    <w:rsid w:val="003400BD"/>
    <w:rsid w:val="00340644"/>
    <w:rsid w:val="003408DD"/>
    <w:rsid w:val="00354996"/>
    <w:rsid w:val="0035794E"/>
    <w:rsid w:val="00363A7D"/>
    <w:rsid w:val="003733DC"/>
    <w:rsid w:val="003764B2"/>
    <w:rsid w:val="00376515"/>
    <w:rsid w:val="00376639"/>
    <w:rsid w:val="00386623"/>
    <w:rsid w:val="00393F85"/>
    <w:rsid w:val="00396F19"/>
    <w:rsid w:val="003A571E"/>
    <w:rsid w:val="003D710D"/>
    <w:rsid w:val="003D7B94"/>
    <w:rsid w:val="003E0683"/>
    <w:rsid w:val="004018E4"/>
    <w:rsid w:val="00406C60"/>
    <w:rsid w:val="00411172"/>
    <w:rsid w:val="0046065D"/>
    <w:rsid w:val="00467920"/>
    <w:rsid w:val="00472C64"/>
    <w:rsid w:val="004B2956"/>
    <w:rsid w:val="004B7E81"/>
    <w:rsid w:val="004C1161"/>
    <w:rsid w:val="004F5BBC"/>
    <w:rsid w:val="005265D3"/>
    <w:rsid w:val="00541DD5"/>
    <w:rsid w:val="00545E0F"/>
    <w:rsid w:val="00557BD2"/>
    <w:rsid w:val="005619ED"/>
    <w:rsid w:val="00562502"/>
    <w:rsid w:val="005749B5"/>
    <w:rsid w:val="005969FE"/>
    <w:rsid w:val="005D0475"/>
    <w:rsid w:val="005D7886"/>
    <w:rsid w:val="00604F58"/>
    <w:rsid w:val="00635D60"/>
    <w:rsid w:val="006546AD"/>
    <w:rsid w:val="006760B4"/>
    <w:rsid w:val="00677C1B"/>
    <w:rsid w:val="006821EF"/>
    <w:rsid w:val="006A38C9"/>
    <w:rsid w:val="006B745D"/>
    <w:rsid w:val="006C5CFB"/>
    <w:rsid w:val="006D37E5"/>
    <w:rsid w:val="006E2749"/>
    <w:rsid w:val="006E7025"/>
    <w:rsid w:val="006F4F51"/>
    <w:rsid w:val="007063E6"/>
    <w:rsid w:val="0071489F"/>
    <w:rsid w:val="00716A25"/>
    <w:rsid w:val="0072728B"/>
    <w:rsid w:val="00750B27"/>
    <w:rsid w:val="00754B2B"/>
    <w:rsid w:val="00767929"/>
    <w:rsid w:val="00785B44"/>
    <w:rsid w:val="00786E1C"/>
    <w:rsid w:val="00792DA5"/>
    <w:rsid w:val="007934D2"/>
    <w:rsid w:val="007A4D07"/>
    <w:rsid w:val="007A7B8D"/>
    <w:rsid w:val="007B0F66"/>
    <w:rsid w:val="007B1B43"/>
    <w:rsid w:val="007C64BC"/>
    <w:rsid w:val="007D4FA6"/>
    <w:rsid w:val="007F26B4"/>
    <w:rsid w:val="007F3E50"/>
    <w:rsid w:val="00825F63"/>
    <w:rsid w:val="00854A09"/>
    <w:rsid w:val="00875083"/>
    <w:rsid w:val="00886DB7"/>
    <w:rsid w:val="008D1801"/>
    <w:rsid w:val="008D6928"/>
    <w:rsid w:val="00944E50"/>
    <w:rsid w:val="009631B5"/>
    <w:rsid w:val="00963FAE"/>
    <w:rsid w:val="0096743D"/>
    <w:rsid w:val="00970246"/>
    <w:rsid w:val="009A49D6"/>
    <w:rsid w:val="009C0AEA"/>
    <w:rsid w:val="009C44BC"/>
    <w:rsid w:val="009F3CA2"/>
    <w:rsid w:val="00A15A86"/>
    <w:rsid w:val="00A547C1"/>
    <w:rsid w:val="00A551AC"/>
    <w:rsid w:val="00A61FC3"/>
    <w:rsid w:val="00A733E9"/>
    <w:rsid w:val="00A926F5"/>
    <w:rsid w:val="00AB61A1"/>
    <w:rsid w:val="00AC726B"/>
    <w:rsid w:val="00AD0C90"/>
    <w:rsid w:val="00AD4BF1"/>
    <w:rsid w:val="00AF5787"/>
    <w:rsid w:val="00B27D56"/>
    <w:rsid w:val="00B40E20"/>
    <w:rsid w:val="00B6113F"/>
    <w:rsid w:val="00B902D8"/>
    <w:rsid w:val="00B95E68"/>
    <w:rsid w:val="00BD552C"/>
    <w:rsid w:val="00BD79DF"/>
    <w:rsid w:val="00C03805"/>
    <w:rsid w:val="00C058EC"/>
    <w:rsid w:val="00C15C5B"/>
    <w:rsid w:val="00C204C3"/>
    <w:rsid w:val="00C2268A"/>
    <w:rsid w:val="00C430AF"/>
    <w:rsid w:val="00C87F93"/>
    <w:rsid w:val="00C913CB"/>
    <w:rsid w:val="00C935F5"/>
    <w:rsid w:val="00CD3A55"/>
    <w:rsid w:val="00CD7050"/>
    <w:rsid w:val="00CE2BD9"/>
    <w:rsid w:val="00D062FE"/>
    <w:rsid w:val="00D12672"/>
    <w:rsid w:val="00DA12F5"/>
    <w:rsid w:val="00DC2DBF"/>
    <w:rsid w:val="00DC7926"/>
    <w:rsid w:val="00DD013C"/>
    <w:rsid w:val="00DE3BF3"/>
    <w:rsid w:val="00DF16BF"/>
    <w:rsid w:val="00E07872"/>
    <w:rsid w:val="00E14578"/>
    <w:rsid w:val="00E258B3"/>
    <w:rsid w:val="00E41113"/>
    <w:rsid w:val="00E422E2"/>
    <w:rsid w:val="00E512E7"/>
    <w:rsid w:val="00E54F5D"/>
    <w:rsid w:val="00E55D2C"/>
    <w:rsid w:val="00E670E9"/>
    <w:rsid w:val="00E7581F"/>
    <w:rsid w:val="00E90F01"/>
    <w:rsid w:val="00E9537E"/>
    <w:rsid w:val="00E97A8A"/>
    <w:rsid w:val="00EB3D29"/>
    <w:rsid w:val="00ED429E"/>
    <w:rsid w:val="00ED6C9C"/>
    <w:rsid w:val="00EE4F34"/>
    <w:rsid w:val="00F204EF"/>
    <w:rsid w:val="00F510B2"/>
    <w:rsid w:val="00F71A56"/>
    <w:rsid w:val="00FA1600"/>
    <w:rsid w:val="00FA4F3D"/>
    <w:rsid w:val="00FA5DB2"/>
    <w:rsid w:val="00FC13AB"/>
    <w:rsid w:val="1F587D35"/>
    <w:rsid w:val="261D459F"/>
    <w:rsid w:val="26B739CB"/>
    <w:rsid w:val="38DD5D42"/>
    <w:rsid w:val="5BD46C9D"/>
    <w:rsid w:val="5CBF777C"/>
    <w:rsid w:val="74F624D1"/>
    <w:rsid w:val="78493C96"/>
    <w:rsid w:val="7B6949DE"/>
    <w:rsid w:val="7E8E42D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semiHidden="0" w:name="header"/>
    <w:lsdException w:qFormat="1"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15"/>
    <w:qFormat/>
    <w:uiPriority w:val="0"/>
    <w:pPr>
      <w:keepNext/>
      <w:spacing w:before="240" w:after="240" w:line="240" w:lineRule="auto"/>
      <w:jc w:val="center"/>
      <w:outlineLvl w:val="0"/>
    </w:pPr>
    <w:rPr>
      <w:rFonts w:ascii="Times New Roman" w:hAnsi="Times New Roman" w:eastAsia="Times New Roman" w:cs="Arial"/>
      <w:b/>
      <w:bCs/>
      <w:kern w:val="32"/>
      <w:sz w:val="28"/>
      <w:szCs w:val="32"/>
      <w:lang w:eastAsia="ru-RU"/>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footnote reference"/>
    <w:basedOn w:val="3"/>
    <w:semiHidden/>
    <w:qFormat/>
    <w:uiPriority w:val="0"/>
    <w:rPr>
      <w:vertAlign w:val="superscript"/>
    </w:rPr>
  </w:style>
  <w:style w:type="character" w:styleId="6">
    <w:name w:val="Hyperlink"/>
    <w:basedOn w:val="3"/>
    <w:semiHidden/>
    <w:unhideWhenUsed/>
    <w:qFormat/>
    <w:uiPriority w:val="99"/>
    <w:rPr>
      <w:color w:val="0000FF"/>
      <w:u w:val="single"/>
    </w:rPr>
  </w:style>
  <w:style w:type="paragraph" w:styleId="7">
    <w:name w:val="Balloon Text"/>
    <w:basedOn w:val="1"/>
    <w:link w:val="27"/>
    <w:semiHidden/>
    <w:unhideWhenUsed/>
    <w:qFormat/>
    <w:uiPriority w:val="99"/>
    <w:pPr>
      <w:spacing w:after="0" w:line="240" w:lineRule="auto"/>
    </w:pPr>
    <w:rPr>
      <w:rFonts w:ascii="Tahoma" w:hAnsi="Tahoma" w:cs="Tahoma"/>
      <w:sz w:val="16"/>
      <w:szCs w:val="16"/>
    </w:rPr>
  </w:style>
  <w:style w:type="paragraph" w:styleId="8">
    <w:name w:val="caption"/>
    <w:basedOn w:val="1"/>
    <w:next w:val="1"/>
    <w:qFormat/>
    <w:uiPriority w:val="0"/>
    <w:pPr>
      <w:spacing w:after="0" w:line="240" w:lineRule="auto"/>
    </w:pPr>
    <w:rPr>
      <w:rFonts w:ascii="Times New Roman" w:hAnsi="Times New Roman" w:eastAsia="Times New Roman" w:cs="Times New Roman"/>
      <w:sz w:val="24"/>
      <w:szCs w:val="20"/>
      <w:lang w:eastAsia="ru-RU"/>
    </w:rPr>
  </w:style>
  <w:style w:type="paragraph" w:styleId="9">
    <w:name w:val="footnote text"/>
    <w:basedOn w:val="1"/>
    <w:link w:val="19"/>
    <w:semiHidden/>
    <w:qFormat/>
    <w:uiPriority w:val="0"/>
    <w:pPr>
      <w:spacing w:after="0" w:line="240" w:lineRule="auto"/>
    </w:pPr>
    <w:rPr>
      <w:rFonts w:ascii="Times New Roman" w:hAnsi="Times New Roman" w:eastAsia="Times New Roman" w:cs="Times New Roman"/>
      <w:sz w:val="20"/>
      <w:szCs w:val="20"/>
      <w:lang w:eastAsia="ru-RU"/>
    </w:rPr>
  </w:style>
  <w:style w:type="paragraph" w:styleId="10">
    <w:name w:val="header"/>
    <w:basedOn w:val="1"/>
    <w:link w:val="16"/>
    <w:qFormat/>
    <w:uiPriority w:val="99"/>
    <w:pPr>
      <w:tabs>
        <w:tab w:val="center" w:pos="4677"/>
        <w:tab w:val="right" w:pos="9355"/>
      </w:tabs>
      <w:spacing w:after="0" w:line="240" w:lineRule="auto"/>
      <w:jc w:val="center"/>
    </w:pPr>
    <w:rPr>
      <w:rFonts w:ascii="Times New Roman" w:hAnsi="Times New Roman" w:eastAsia="Times New Roman" w:cs="Times New Roman"/>
      <w:szCs w:val="28"/>
      <w:lang w:eastAsia="ru-RU"/>
    </w:rPr>
  </w:style>
  <w:style w:type="paragraph" w:styleId="11">
    <w:name w:val="Body Text Indent"/>
    <w:basedOn w:val="1"/>
    <w:link w:val="21"/>
    <w:semiHidden/>
    <w:qFormat/>
    <w:uiPriority w:val="0"/>
    <w:pPr>
      <w:spacing w:after="0" w:line="360" w:lineRule="auto"/>
      <w:ind w:firstLine="709"/>
      <w:jc w:val="both"/>
    </w:pPr>
    <w:rPr>
      <w:rFonts w:ascii="Times New Roman" w:hAnsi="Times New Roman" w:eastAsia="Times New Roman" w:cs="Times New Roman"/>
      <w:sz w:val="28"/>
      <w:szCs w:val="24"/>
      <w:lang w:eastAsia="ru-RU"/>
    </w:rPr>
  </w:style>
  <w:style w:type="paragraph" w:styleId="12">
    <w:name w:val="footer"/>
    <w:basedOn w:val="1"/>
    <w:link w:val="22"/>
    <w:semiHidden/>
    <w:unhideWhenUsed/>
    <w:qFormat/>
    <w:uiPriority w:val="99"/>
    <w:pPr>
      <w:tabs>
        <w:tab w:val="center" w:pos="4677"/>
        <w:tab w:val="right" w:pos="9355"/>
      </w:tabs>
      <w:spacing w:after="0" w:line="240" w:lineRule="auto"/>
    </w:pPr>
  </w:style>
  <w:style w:type="paragraph" w:styleId="13">
    <w:name w:val="Normal (Web)"/>
    <w:semiHidden/>
    <w:unhideWhenUsed/>
    <w:qFormat/>
    <w:uiPriority w:val="99"/>
    <w:pPr>
      <w:spacing w:beforeAutospacing="1" w:afterAutospacing="1"/>
    </w:pPr>
    <w:rPr>
      <w:rFonts w:ascii="Times New Roman" w:hAnsi="Times New Roman" w:eastAsia="SimSun" w:cs="Times New Roman"/>
      <w:sz w:val="24"/>
      <w:szCs w:val="24"/>
      <w:lang w:val="en-US" w:eastAsia="zh-CN" w:bidi="ar-SA"/>
    </w:rPr>
  </w:style>
  <w:style w:type="paragraph" w:styleId="14">
    <w:name w:val="Subtitle"/>
    <w:basedOn w:val="1"/>
    <w:link w:val="23"/>
    <w:qFormat/>
    <w:uiPriority w:val="0"/>
    <w:pPr>
      <w:spacing w:after="0" w:line="240" w:lineRule="auto"/>
      <w:jc w:val="center"/>
    </w:pPr>
    <w:rPr>
      <w:rFonts w:ascii="Times New Roman" w:hAnsi="Times New Roman" w:eastAsia="Times New Roman" w:cs="Times New Roman"/>
      <w:b/>
      <w:snapToGrid w:val="0"/>
      <w:sz w:val="36"/>
      <w:szCs w:val="20"/>
      <w:lang w:eastAsia="ru-RU"/>
    </w:rPr>
  </w:style>
  <w:style w:type="character" w:customStyle="1" w:styleId="15">
    <w:name w:val="Заголовок 1 Знак"/>
    <w:basedOn w:val="3"/>
    <w:link w:val="2"/>
    <w:qFormat/>
    <w:uiPriority w:val="0"/>
    <w:rPr>
      <w:rFonts w:ascii="Times New Roman" w:hAnsi="Times New Roman" w:eastAsia="Times New Roman" w:cs="Arial"/>
      <w:b/>
      <w:bCs/>
      <w:kern w:val="32"/>
      <w:sz w:val="28"/>
      <w:szCs w:val="32"/>
      <w:lang w:eastAsia="ru-RU"/>
    </w:rPr>
  </w:style>
  <w:style w:type="character" w:customStyle="1" w:styleId="16">
    <w:name w:val="Верхний колонтитул Знак"/>
    <w:basedOn w:val="3"/>
    <w:link w:val="10"/>
    <w:qFormat/>
    <w:uiPriority w:val="99"/>
    <w:rPr>
      <w:rFonts w:ascii="Times New Roman" w:hAnsi="Times New Roman" w:eastAsia="Times New Roman" w:cs="Times New Roman"/>
      <w:szCs w:val="28"/>
      <w:lang w:eastAsia="ru-RU"/>
    </w:rPr>
  </w:style>
  <w:style w:type="paragraph" w:styleId="17">
    <w:name w:val="List Paragraph"/>
    <w:basedOn w:val="1"/>
    <w:qFormat/>
    <w:uiPriority w:val="34"/>
    <w:pPr>
      <w:ind w:left="720"/>
      <w:contextualSpacing/>
    </w:pPr>
  </w:style>
  <w:style w:type="paragraph" w:customStyle="1" w:styleId="18">
    <w:name w:val="ConsPlusNormal"/>
    <w:qFormat/>
    <w:uiPriority w:val="0"/>
    <w:pPr>
      <w:widowControl w:val="0"/>
      <w:autoSpaceDE w:val="0"/>
      <w:autoSpaceDN w:val="0"/>
      <w:adjustRightInd w:val="0"/>
      <w:ind w:firstLine="720"/>
    </w:pPr>
    <w:rPr>
      <w:rFonts w:ascii="Times New Roman" w:hAnsi="Times New Roman" w:eastAsia="Times New Roman" w:cs="Times New Roman"/>
      <w:sz w:val="28"/>
      <w:szCs w:val="28"/>
      <w:lang w:val="ru-RU" w:eastAsia="ru-RU" w:bidi="ar-SA"/>
    </w:rPr>
  </w:style>
  <w:style w:type="character" w:customStyle="1" w:styleId="19">
    <w:name w:val="Текст сноски Знак"/>
    <w:basedOn w:val="3"/>
    <w:link w:val="9"/>
    <w:semiHidden/>
    <w:qFormat/>
    <w:uiPriority w:val="0"/>
    <w:rPr>
      <w:rFonts w:ascii="Times New Roman" w:hAnsi="Times New Roman" w:eastAsia="Times New Roman" w:cs="Times New Roman"/>
      <w:sz w:val="20"/>
      <w:szCs w:val="20"/>
      <w:lang w:eastAsia="ru-RU"/>
    </w:rPr>
  </w:style>
  <w:style w:type="paragraph" w:customStyle="1" w:styleId="20">
    <w:name w:val="ConsNormal"/>
    <w:qFormat/>
    <w:uiPriority w:val="0"/>
    <w:pPr>
      <w:widowControl w:val="0"/>
      <w:autoSpaceDE w:val="0"/>
      <w:autoSpaceDN w:val="0"/>
      <w:adjustRightInd w:val="0"/>
      <w:ind w:firstLine="720"/>
    </w:pPr>
    <w:rPr>
      <w:rFonts w:ascii="Arial" w:hAnsi="Arial" w:eastAsia="Times New Roman" w:cs="Arial"/>
      <w:sz w:val="16"/>
      <w:szCs w:val="16"/>
      <w:lang w:val="ru-RU" w:eastAsia="ru-RU" w:bidi="ar-SA"/>
    </w:rPr>
  </w:style>
  <w:style w:type="character" w:customStyle="1" w:styleId="21">
    <w:name w:val="Основной текст с отступом Знак"/>
    <w:basedOn w:val="3"/>
    <w:link w:val="11"/>
    <w:semiHidden/>
    <w:qFormat/>
    <w:uiPriority w:val="0"/>
    <w:rPr>
      <w:rFonts w:ascii="Times New Roman" w:hAnsi="Times New Roman" w:eastAsia="Times New Roman" w:cs="Times New Roman"/>
      <w:sz w:val="28"/>
      <w:szCs w:val="24"/>
      <w:lang w:eastAsia="ru-RU"/>
    </w:rPr>
  </w:style>
  <w:style w:type="character" w:customStyle="1" w:styleId="22">
    <w:name w:val="Нижний колонтитул Знак"/>
    <w:basedOn w:val="3"/>
    <w:link w:val="12"/>
    <w:semiHidden/>
    <w:qFormat/>
    <w:uiPriority w:val="99"/>
  </w:style>
  <w:style w:type="character" w:customStyle="1" w:styleId="23">
    <w:name w:val="Подзаголовок Знак"/>
    <w:basedOn w:val="3"/>
    <w:link w:val="14"/>
    <w:qFormat/>
    <w:uiPriority w:val="0"/>
    <w:rPr>
      <w:rFonts w:ascii="Times New Roman" w:hAnsi="Times New Roman" w:eastAsia="Times New Roman" w:cs="Times New Roman"/>
      <w:b/>
      <w:snapToGrid w:val="0"/>
      <w:sz w:val="36"/>
      <w:szCs w:val="20"/>
      <w:lang w:eastAsia="ru-RU"/>
    </w:rPr>
  </w:style>
  <w:style w:type="paragraph" w:customStyle="1" w:styleId="24">
    <w:name w:val="текст14-15"/>
    <w:basedOn w:val="1"/>
    <w:qFormat/>
    <w:uiPriority w:val="0"/>
    <w:pPr>
      <w:spacing w:after="0" w:line="360" w:lineRule="auto"/>
      <w:ind w:firstLine="720"/>
      <w:jc w:val="both"/>
    </w:pPr>
    <w:rPr>
      <w:rFonts w:ascii="Times New Roman" w:hAnsi="Times New Roman" w:eastAsia="Calibri" w:cs="Times New Roman"/>
      <w:sz w:val="28"/>
      <w:szCs w:val="28"/>
      <w:lang w:eastAsia="ru-RU"/>
    </w:rPr>
  </w:style>
  <w:style w:type="paragraph" w:customStyle="1" w:styleId="25">
    <w:name w:val="14-15"/>
    <w:basedOn w:val="1"/>
    <w:qFormat/>
    <w:uiPriority w:val="0"/>
    <w:pPr>
      <w:spacing w:line="360" w:lineRule="auto"/>
      <w:ind w:firstLine="709"/>
    </w:pPr>
    <w:rPr>
      <w:rFonts w:ascii="Times New Roman" w:hAnsi="Times New Roman" w:eastAsia="Calibri"/>
      <w:sz w:val="28"/>
      <w:szCs w:val="28"/>
      <w:lang w:eastAsia="ru-RU"/>
    </w:rPr>
  </w:style>
  <w:style w:type="paragraph" w:customStyle="1" w:styleId="26">
    <w:name w:val="1"/>
    <w:basedOn w:val="1"/>
    <w:qFormat/>
    <w:uiPriority w:val="0"/>
    <w:pPr>
      <w:spacing w:line="360" w:lineRule="auto"/>
      <w:ind w:firstLine="709"/>
      <w:jc w:val="both"/>
    </w:pPr>
    <w:rPr>
      <w:szCs w:val="24"/>
    </w:rPr>
  </w:style>
  <w:style w:type="character" w:customStyle="1" w:styleId="27">
    <w:name w:val="Текст выноски Знак"/>
    <w:basedOn w:val="3"/>
    <w:link w:val="7"/>
    <w:semiHidden/>
    <w:qFormat/>
    <w:uiPriority w:val="99"/>
    <w:rPr>
      <w:rFonts w:ascii="Tahoma" w:hAnsi="Tahoma" w:cs="Tahoma" w:eastAsiaTheme="minorHAnsi"/>
      <w:sz w:val="16"/>
      <w:szCs w:val="16"/>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5926A9-6F92-4CB8-B4AA-61D2D7BF202B}">
  <ds:schemaRefs/>
</ds:datastoreItem>
</file>

<file path=docProps/app.xml><?xml version="1.0" encoding="utf-8"?>
<Properties xmlns="http://schemas.openxmlformats.org/officeDocument/2006/extended-properties" xmlns:vt="http://schemas.openxmlformats.org/officeDocument/2006/docPropsVTypes">
  <Template>Normal.dotm</Template>
  <Company>Reanimator Extreme Edition</Company>
  <Pages>16</Pages>
  <Words>5333</Words>
  <Characters>30404</Characters>
  <Lines>253</Lines>
  <Paragraphs>71</Paragraphs>
  <TotalTime>48</TotalTime>
  <ScaleCrop>false</ScaleCrop>
  <LinksUpToDate>false</LinksUpToDate>
  <CharactersWithSpaces>35666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2026-01-23T08:51:00Z</dcterms:created>
  <dc:creator>user5</dc:creator>
  <cp:lastModifiedBy>Admin</cp:lastModifiedBy>
  <cp:lastPrinted>2016-05-19T08:47:00Z</cp:lastPrinted>
  <dcterms:modified xsi:type="dcterms:W3CDTF">2026-03-20T05:19:46Z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237CED69CC5842F981AAF7441434F8FE_13</vt:lpwstr>
  </property>
</Properties>
</file>